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4A58E" w14:textId="17A01400" w:rsidR="00DE0299" w:rsidRPr="00E757AF" w:rsidRDefault="00DE0299" w:rsidP="00DE0299">
      <w:pPr>
        <w:jc w:val="center"/>
        <w:rPr>
          <w:sz w:val="22"/>
          <w:szCs w:val="22"/>
        </w:rPr>
      </w:pPr>
      <w:bookmarkStart w:id="0" w:name="_Hlk185425854"/>
      <w:r w:rsidRPr="00E757AF">
        <w:rPr>
          <w:b/>
          <w:bCs/>
          <w:sz w:val="22"/>
          <w:szCs w:val="22"/>
        </w:rPr>
        <w:t xml:space="preserve">Procedure: </w:t>
      </w:r>
      <w:bookmarkStart w:id="1" w:name="_Hlk184991347"/>
      <w:r w:rsidRPr="00E757AF">
        <w:rPr>
          <w:b/>
          <w:bCs/>
          <w:sz w:val="22"/>
          <w:szCs w:val="22"/>
        </w:rPr>
        <w:t>MDHHS Network Adequacy Standards—Medicaid Specialty Behavioral Health Services</w:t>
      </w:r>
      <w:bookmarkEnd w:id="1"/>
    </w:p>
    <w:bookmarkEnd w:id="0"/>
    <w:p w14:paraId="7C372D28" w14:textId="41742777" w:rsidR="00DE0299" w:rsidRPr="00E757AF" w:rsidRDefault="00DE0299">
      <w:pPr>
        <w:rPr>
          <w:sz w:val="22"/>
          <w:szCs w:val="22"/>
        </w:rPr>
      </w:pPr>
      <w:r w:rsidRPr="00E757AF">
        <w:rPr>
          <w:b/>
          <w:bCs/>
          <w:sz w:val="22"/>
          <w:szCs w:val="22"/>
        </w:rPr>
        <w:t>MDHHS Specialty Behavioral Health Network Adequacy</w:t>
      </w:r>
      <w:r w:rsidRPr="00E757AF">
        <w:rPr>
          <w:sz w:val="22"/>
          <w:szCs w:val="22"/>
        </w:rPr>
        <w:t xml:space="preserve"> </w:t>
      </w:r>
      <w:r w:rsidRPr="00E757AF">
        <w:rPr>
          <w:b/>
          <w:bCs/>
          <w:sz w:val="22"/>
          <w:szCs w:val="22"/>
        </w:rPr>
        <w:t>Standards</w:t>
      </w:r>
      <w:r w:rsidRPr="00E757AF">
        <w:rPr>
          <w:sz w:val="22"/>
          <w:szCs w:val="22"/>
        </w:rPr>
        <w:t xml:space="preserve"> </w:t>
      </w:r>
    </w:p>
    <w:p w14:paraId="5849F8DB" w14:textId="5DD78B72" w:rsidR="000558EA" w:rsidRPr="00E757AF" w:rsidRDefault="00DE0299">
      <w:pPr>
        <w:rPr>
          <w:sz w:val="22"/>
          <w:szCs w:val="22"/>
        </w:rPr>
      </w:pPr>
      <w:r w:rsidRPr="00E757AF">
        <w:rPr>
          <w:sz w:val="22"/>
          <w:szCs w:val="22"/>
        </w:rPr>
        <w:t xml:space="preserve">The Code of Federal Regulations at 42 CFR Parts 438.68 and 457.1218 </w:t>
      </w:r>
      <w:r w:rsidR="000806DE">
        <w:rPr>
          <w:sz w:val="22"/>
          <w:szCs w:val="22"/>
        </w:rPr>
        <w:t>requires</w:t>
      </w:r>
      <w:r w:rsidR="00DB0DA8">
        <w:rPr>
          <w:sz w:val="22"/>
          <w:szCs w:val="22"/>
        </w:rPr>
        <w:t xml:space="preserve"> </w:t>
      </w:r>
      <w:r w:rsidR="007776FE">
        <w:rPr>
          <w:sz w:val="22"/>
          <w:szCs w:val="22"/>
        </w:rPr>
        <w:t>the</w:t>
      </w:r>
      <w:r w:rsidRPr="00E757AF">
        <w:rPr>
          <w:sz w:val="22"/>
          <w:szCs w:val="22"/>
        </w:rPr>
        <w:t xml:space="preserve"> states holding managed care contracts </w:t>
      </w:r>
      <w:r w:rsidR="00F20E09">
        <w:rPr>
          <w:sz w:val="22"/>
          <w:szCs w:val="22"/>
        </w:rPr>
        <w:t>to</w:t>
      </w:r>
      <w:r w:rsidRPr="00E757AF">
        <w:rPr>
          <w:sz w:val="22"/>
          <w:szCs w:val="22"/>
        </w:rPr>
        <w:t xml:space="preserve"> develop and implement network adequacy standards. Furthermore, 42 CFR 438.68(b)(iii) indicates that standards pertinent to behavioral health must be developed for the </w:t>
      </w:r>
      <w:r w:rsidR="00A61A96">
        <w:rPr>
          <w:sz w:val="22"/>
          <w:szCs w:val="22"/>
        </w:rPr>
        <w:t>children, youth, and adult</w:t>
      </w:r>
      <w:r w:rsidRPr="00E757AF">
        <w:rPr>
          <w:sz w:val="22"/>
          <w:szCs w:val="22"/>
        </w:rPr>
        <w:t xml:space="preserve"> populations. Pursuant to the federal rules, Michigan’s specialty behavioral health standards reflect time/distance standards and Medicaid </w:t>
      </w:r>
      <w:r w:rsidR="00942BCF">
        <w:rPr>
          <w:sz w:val="22"/>
          <w:szCs w:val="22"/>
        </w:rPr>
        <w:t>provider-to-enrollee</w:t>
      </w:r>
      <w:r w:rsidRPr="00E757AF">
        <w:rPr>
          <w:sz w:val="22"/>
          <w:szCs w:val="22"/>
        </w:rPr>
        <w:t xml:space="preserve"> ratios for services congruent with community need and statewide strategic priorities. The following adult</w:t>
      </w:r>
      <w:r w:rsidR="001C35A8">
        <w:rPr>
          <w:sz w:val="22"/>
          <w:szCs w:val="22"/>
        </w:rPr>
        <w:t>,</w:t>
      </w:r>
      <w:r w:rsidRPr="00E757AF">
        <w:rPr>
          <w:sz w:val="22"/>
          <w:szCs w:val="22"/>
        </w:rPr>
        <w:t xml:space="preserve"> </w:t>
      </w:r>
      <w:r w:rsidR="007848AD">
        <w:rPr>
          <w:sz w:val="22"/>
          <w:szCs w:val="22"/>
        </w:rPr>
        <w:t>children and youth</w:t>
      </w:r>
      <w:r w:rsidRPr="00E757AF">
        <w:rPr>
          <w:sz w:val="22"/>
          <w:szCs w:val="22"/>
        </w:rPr>
        <w:t xml:space="preserve"> services have been identified for reporting </w:t>
      </w:r>
      <w:r w:rsidR="004521EC">
        <w:rPr>
          <w:sz w:val="22"/>
          <w:szCs w:val="22"/>
        </w:rPr>
        <w:t xml:space="preserve">beginning in </w:t>
      </w:r>
      <w:r w:rsidR="004521EC" w:rsidRPr="00E757AF">
        <w:rPr>
          <w:color w:val="000000" w:themeColor="text1"/>
          <w:sz w:val="22"/>
          <w:szCs w:val="22"/>
        </w:rPr>
        <w:t>Fiscal Year 202</w:t>
      </w:r>
      <w:r w:rsidR="00AD0787">
        <w:rPr>
          <w:color w:val="000000" w:themeColor="text1"/>
          <w:sz w:val="22"/>
          <w:szCs w:val="22"/>
        </w:rPr>
        <w:t>6</w:t>
      </w:r>
      <w:r w:rsidR="00624A4E">
        <w:rPr>
          <w:color w:val="000000" w:themeColor="text1"/>
          <w:sz w:val="22"/>
          <w:szCs w:val="22"/>
        </w:rPr>
        <w:t>.</w:t>
      </w:r>
    </w:p>
    <w:tbl>
      <w:tblPr>
        <w:tblStyle w:val="ListTable4-Accent1"/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67"/>
        <w:gridCol w:w="4768"/>
      </w:tblGrid>
      <w:tr w:rsidR="00DE0299" w:rsidRPr="00576A4E" w14:paraId="65BFF05B" w14:textId="77777777" w:rsidTr="00942B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7976FAA" w14:textId="1289C46A" w:rsidR="00DE0299" w:rsidRPr="00E757AF" w:rsidRDefault="00DE0299" w:rsidP="00495375">
            <w:pPr>
              <w:pStyle w:val="TableParagraph"/>
              <w:ind w:left="0" w:right="42"/>
              <w:jc w:val="center"/>
              <w:rPr>
                <w:rFonts w:asciiTheme="minorHAnsi" w:hAnsiTheme="minorHAnsi"/>
                <w:b w:val="0"/>
              </w:rPr>
            </w:pPr>
            <w:bookmarkStart w:id="2" w:name="_Hlk200352098"/>
            <w:r w:rsidRPr="00E757AF">
              <w:rPr>
                <w:rFonts w:asciiTheme="minorHAnsi" w:hAnsiTheme="minorHAnsi"/>
                <w:color w:val="FFFFFF"/>
                <w:spacing w:val="-2"/>
              </w:rPr>
              <w:t xml:space="preserve">Adult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6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7A39210" w14:textId="6CC27FE9" w:rsidR="00DE0299" w:rsidRPr="00E757AF" w:rsidRDefault="00D263EE" w:rsidP="00495375">
            <w:pPr>
              <w:pStyle w:val="TableParagraph"/>
              <w:jc w:val="center"/>
              <w:rPr>
                <w:rFonts w:asciiTheme="minorHAnsi" w:hAnsiTheme="minorHAnsi"/>
                <w:b w:val="0"/>
                <w:bCs w:val="0"/>
              </w:rPr>
            </w:pPr>
            <w:r>
              <w:rPr>
                <w:rFonts w:asciiTheme="minorHAnsi" w:hAnsiTheme="minorHAnsi"/>
              </w:rPr>
              <w:t>Children and Youth</w:t>
            </w:r>
          </w:p>
        </w:tc>
      </w:tr>
      <w:tr w:rsidR="00DE0299" w:rsidRPr="00576A4E" w14:paraId="3ED725F6" w14:textId="77777777" w:rsidTr="00942B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7" w:type="dxa"/>
            <w:shd w:val="clear" w:color="auto" w:fill="auto"/>
          </w:tcPr>
          <w:p w14:paraId="7AC97470" w14:textId="0937227E" w:rsidR="00DE0299" w:rsidRPr="00E757AF" w:rsidRDefault="00DE0299" w:rsidP="00E757AF">
            <w:pPr>
              <w:pStyle w:val="TableParagraph"/>
              <w:tabs>
                <w:tab w:val="center" w:pos="2335"/>
                <w:tab w:val="left" w:pos="3940"/>
              </w:tabs>
              <w:ind w:left="0"/>
              <w:rPr>
                <w:rFonts w:asciiTheme="minorHAnsi" w:hAnsiTheme="minorHAnsi"/>
              </w:rPr>
            </w:pPr>
            <w:r w:rsidRPr="00E757AF">
              <w:rPr>
                <w:rFonts w:asciiTheme="minorHAnsi" w:hAnsiTheme="minorHAnsi"/>
              </w:rPr>
              <w:t>Assertive Community Treatment (H0039)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68" w:type="dxa"/>
            <w:shd w:val="clear" w:color="auto" w:fill="auto"/>
          </w:tcPr>
          <w:p w14:paraId="1D84E0FB" w14:textId="2332E9A2" w:rsidR="00DE0299" w:rsidRPr="00E757AF" w:rsidRDefault="00DE0299" w:rsidP="00E757AF">
            <w:pPr>
              <w:pStyle w:val="TableParagraph"/>
              <w:ind w:left="0"/>
              <w:rPr>
                <w:rFonts w:asciiTheme="minorHAnsi" w:hAnsiTheme="minorHAnsi"/>
              </w:rPr>
            </w:pPr>
            <w:r w:rsidRPr="00E757AF">
              <w:rPr>
                <w:rFonts w:asciiTheme="minorHAnsi" w:hAnsiTheme="minorHAnsi"/>
              </w:rPr>
              <w:t>Crisis Residential Programs (H0018)</w:t>
            </w:r>
          </w:p>
        </w:tc>
      </w:tr>
      <w:tr w:rsidR="00DE0299" w:rsidRPr="00576A4E" w14:paraId="7E8F249F" w14:textId="77777777" w:rsidTr="00942BCF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7" w:type="dxa"/>
          </w:tcPr>
          <w:p w14:paraId="5D160EAB" w14:textId="0593A054" w:rsidR="00DE0299" w:rsidRPr="00E757AF" w:rsidRDefault="00DE0299" w:rsidP="00E757AF">
            <w:pPr>
              <w:pStyle w:val="TableParagraph"/>
              <w:tabs>
                <w:tab w:val="left" w:pos="3871"/>
              </w:tabs>
              <w:ind w:left="0"/>
              <w:rPr>
                <w:rFonts w:asciiTheme="minorHAnsi" w:hAnsiTheme="minorHAnsi"/>
              </w:rPr>
            </w:pPr>
            <w:r w:rsidRPr="00E757AF">
              <w:rPr>
                <w:rFonts w:asciiTheme="minorHAnsi" w:hAnsiTheme="minorHAnsi"/>
              </w:rPr>
              <w:t>Crisis Residential Programs (H0018)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68" w:type="dxa"/>
          </w:tcPr>
          <w:p w14:paraId="323D8E76" w14:textId="5CA1364F" w:rsidR="00DE0299" w:rsidRPr="00E757AF" w:rsidRDefault="00DE0299" w:rsidP="00E757AF">
            <w:pPr>
              <w:pStyle w:val="TableParagraph"/>
              <w:ind w:left="0"/>
              <w:rPr>
                <w:rFonts w:asciiTheme="minorHAnsi" w:hAnsiTheme="minorHAnsi"/>
              </w:rPr>
            </w:pPr>
            <w:r w:rsidRPr="00E757AF">
              <w:rPr>
                <w:rFonts w:asciiTheme="minorHAnsi" w:hAnsiTheme="minorHAnsi"/>
              </w:rPr>
              <w:t>Home-Based Services (H0036)</w:t>
            </w:r>
          </w:p>
        </w:tc>
      </w:tr>
      <w:tr w:rsidR="00DE0299" w:rsidRPr="00576A4E" w14:paraId="640FF17E" w14:textId="77777777" w:rsidTr="00942B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7" w:type="dxa"/>
            <w:shd w:val="clear" w:color="auto" w:fill="auto"/>
          </w:tcPr>
          <w:p w14:paraId="56185C25" w14:textId="72130903" w:rsidR="00DE0299" w:rsidRPr="00E757AF" w:rsidRDefault="00DE0299" w:rsidP="00DE0299">
            <w:pPr>
              <w:pStyle w:val="TableParagraph"/>
              <w:tabs>
                <w:tab w:val="left" w:pos="3871"/>
              </w:tabs>
              <w:ind w:left="0"/>
              <w:rPr>
                <w:rFonts w:asciiTheme="minorHAnsi" w:hAnsiTheme="minorHAnsi"/>
              </w:rPr>
            </w:pPr>
            <w:r w:rsidRPr="00E757AF">
              <w:rPr>
                <w:rFonts w:asciiTheme="minorHAnsi" w:hAnsiTheme="minorHAnsi"/>
              </w:rPr>
              <w:t>Opioid Treatment Programs (H0020)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68" w:type="dxa"/>
            <w:shd w:val="clear" w:color="auto" w:fill="auto"/>
          </w:tcPr>
          <w:p w14:paraId="7F93CC42" w14:textId="5EDF8772" w:rsidR="00DE0299" w:rsidRPr="00E757AF" w:rsidRDefault="00DE0299" w:rsidP="00E757AF">
            <w:pPr>
              <w:pStyle w:val="TableParagraph"/>
              <w:ind w:left="0"/>
              <w:rPr>
                <w:rFonts w:asciiTheme="minorHAnsi" w:hAnsiTheme="minorHAnsi"/>
              </w:rPr>
            </w:pPr>
            <w:r w:rsidRPr="00E757AF">
              <w:rPr>
                <w:rFonts w:asciiTheme="minorHAnsi" w:hAnsiTheme="minorHAnsi"/>
              </w:rPr>
              <w:t>Wraparound Services (H2021)</w:t>
            </w:r>
          </w:p>
        </w:tc>
      </w:tr>
      <w:tr w:rsidR="000331FC" w:rsidRPr="00576A4E" w14:paraId="79E33564" w14:textId="77777777" w:rsidTr="00942BCF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7" w:type="dxa"/>
          </w:tcPr>
          <w:p w14:paraId="2EBB7D4F" w14:textId="41F4BA64" w:rsidR="000331FC" w:rsidRPr="00E757AF" w:rsidRDefault="000331FC" w:rsidP="000331FC">
            <w:pPr>
              <w:pStyle w:val="TableParagraph"/>
              <w:tabs>
                <w:tab w:val="left" w:pos="3871"/>
              </w:tabs>
              <w:ind w:left="0"/>
              <w:rPr>
                <w:rFonts w:asciiTheme="minorHAnsi" w:hAnsiTheme="minorHAnsi"/>
              </w:rPr>
            </w:pPr>
            <w:r w:rsidRPr="00E757AF">
              <w:rPr>
                <w:rFonts w:asciiTheme="minorHAnsi" w:hAnsiTheme="minorHAnsi"/>
              </w:rPr>
              <w:t>Psychosocial Rehabilitation Programs (Clubhouses) (H2030)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68" w:type="dxa"/>
          </w:tcPr>
          <w:p w14:paraId="69C306A7" w14:textId="5B6B4198" w:rsidR="000331FC" w:rsidRPr="00E757AF" w:rsidRDefault="000331FC" w:rsidP="00E757AF">
            <w:pPr>
              <w:pStyle w:val="TableParagraph"/>
              <w:ind w:left="0"/>
              <w:rPr>
                <w:rFonts w:asciiTheme="minorHAnsi" w:hAnsiTheme="minorHAnsi"/>
                <w:color w:val="000000" w:themeColor="text1"/>
              </w:rPr>
            </w:pPr>
            <w:r w:rsidRPr="00E757AF">
              <w:rPr>
                <w:rFonts w:asciiTheme="minorHAnsi" w:hAnsiTheme="minorHAnsi"/>
                <w:color w:val="000000" w:themeColor="text1"/>
              </w:rPr>
              <w:t>Intensive Crisis Stabilization Services for Children (Mobile Response with two-person team) H2011HT</w:t>
            </w:r>
          </w:p>
        </w:tc>
      </w:tr>
      <w:tr w:rsidR="000331FC" w:rsidRPr="00576A4E" w14:paraId="230C53A0" w14:textId="77777777" w:rsidTr="00942B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7" w:type="dxa"/>
            <w:shd w:val="clear" w:color="auto" w:fill="auto"/>
          </w:tcPr>
          <w:p w14:paraId="65082F3C" w14:textId="5CCCB7CD" w:rsidR="000331FC" w:rsidRPr="00E757AF" w:rsidRDefault="000331FC" w:rsidP="000331FC">
            <w:pPr>
              <w:pStyle w:val="TableParagraph"/>
              <w:tabs>
                <w:tab w:val="left" w:pos="3871"/>
              </w:tabs>
              <w:ind w:left="0"/>
              <w:rPr>
                <w:rFonts w:asciiTheme="minorHAnsi" w:hAnsiTheme="minorHAnsi"/>
              </w:rPr>
            </w:pPr>
            <w:r w:rsidRPr="00E757AF">
              <w:rPr>
                <w:rFonts w:asciiTheme="minorHAnsi" w:hAnsiTheme="minorHAnsi"/>
              </w:rPr>
              <w:t>Inpatient Psychiatric (0100, 0114, 0124, 0134, 0154)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68" w:type="dxa"/>
            <w:shd w:val="clear" w:color="auto" w:fill="auto"/>
          </w:tcPr>
          <w:p w14:paraId="060904DD" w14:textId="3CC04ADF" w:rsidR="000331FC" w:rsidRPr="00E757AF" w:rsidRDefault="000331FC" w:rsidP="00E757AF">
            <w:pPr>
              <w:pStyle w:val="TableParagraph"/>
              <w:ind w:left="0"/>
              <w:rPr>
                <w:rFonts w:asciiTheme="minorHAnsi" w:hAnsiTheme="minorHAnsi"/>
                <w:color w:val="000000" w:themeColor="text1"/>
              </w:rPr>
            </w:pPr>
            <w:r w:rsidRPr="00E757AF">
              <w:rPr>
                <w:rFonts w:asciiTheme="minorHAnsi" w:hAnsiTheme="minorHAnsi"/>
                <w:color w:val="000000" w:themeColor="text1"/>
              </w:rPr>
              <w:t>Respite Services (T1005, H0045, S5151)</w:t>
            </w:r>
          </w:p>
        </w:tc>
      </w:tr>
      <w:tr w:rsidR="000331FC" w:rsidRPr="00576A4E" w14:paraId="0F50A3F8" w14:textId="77777777" w:rsidTr="00942BCF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7" w:type="dxa"/>
          </w:tcPr>
          <w:p w14:paraId="4D6F9927" w14:textId="021DE897" w:rsidR="000331FC" w:rsidRPr="00E757AF" w:rsidRDefault="00C83B88" w:rsidP="000331FC">
            <w:pPr>
              <w:pStyle w:val="TableParagraph"/>
              <w:tabs>
                <w:tab w:val="left" w:pos="3871"/>
              </w:tabs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Community Living Supports (H201</w:t>
            </w:r>
            <w:r w:rsidR="000E2B4C">
              <w:rPr>
                <w:rFonts w:asciiTheme="minorHAnsi" w:hAnsiTheme="minorHAnsi"/>
              </w:rPr>
              <w:t>5</w:t>
            </w:r>
            <w:r>
              <w:rPr>
                <w:rFonts w:asciiTheme="minorHAnsi" w:hAnsiTheme="minorHAnsi"/>
              </w:rPr>
              <w:t xml:space="preserve">)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68" w:type="dxa"/>
          </w:tcPr>
          <w:p w14:paraId="4D534A27" w14:textId="0508315B" w:rsidR="000331FC" w:rsidRPr="00E757AF" w:rsidRDefault="000331FC" w:rsidP="00E757AF">
            <w:pPr>
              <w:pStyle w:val="TableParagraph"/>
              <w:ind w:left="0"/>
              <w:rPr>
                <w:rFonts w:asciiTheme="minorHAnsi" w:hAnsiTheme="minorHAnsi"/>
                <w:color w:val="000000" w:themeColor="text1"/>
              </w:rPr>
            </w:pPr>
            <w:r w:rsidRPr="00E757AF">
              <w:rPr>
                <w:rFonts w:asciiTheme="minorHAnsi" w:hAnsiTheme="minorHAnsi"/>
                <w:color w:val="000000" w:themeColor="text1"/>
              </w:rPr>
              <w:t>Parent Support Partners (S5111-WP)</w:t>
            </w:r>
          </w:p>
        </w:tc>
      </w:tr>
      <w:tr w:rsidR="000331FC" w:rsidRPr="00576A4E" w14:paraId="3AAB503F" w14:textId="77777777" w:rsidTr="00942B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7" w:type="dxa"/>
            <w:shd w:val="clear" w:color="auto" w:fill="auto"/>
          </w:tcPr>
          <w:p w14:paraId="5C7CC34A" w14:textId="7CE11694" w:rsidR="000331FC" w:rsidRPr="00E757AF" w:rsidRDefault="00C83B88" w:rsidP="000331FC">
            <w:pPr>
              <w:pStyle w:val="TableParagraph"/>
              <w:tabs>
                <w:tab w:val="left" w:pos="3871"/>
              </w:tabs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Skill Building (H2014)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68" w:type="dxa"/>
            <w:shd w:val="clear" w:color="auto" w:fill="auto"/>
          </w:tcPr>
          <w:p w14:paraId="395CDD87" w14:textId="37D014F5" w:rsidR="000331FC" w:rsidRPr="00E757AF" w:rsidRDefault="000331FC" w:rsidP="00E757AF">
            <w:pPr>
              <w:pStyle w:val="TableParagraph"/>
              <w:ind w:left="0"/>
              <w:rPr>
                <w:rFonts w:asciiTheme="minorHAnsi" w:hAnsiTheme="minorHAnsi"/>
                <w:color w:val="000000" w:themeColor="text1"/>
              </w:rPr>
            </w:pPr>
            <w:r w:rsidRPr="00E757AF">
              <w:rPr>
                <w:rFonts w:asciiTheme="minorHAnsi" w:hAnsiTheme="minorHAnsi"/>
                <w:color w:val="000000" w:themeColor="text1"/>
              </w:rPr>
              <w:t xml:space="preserve">Youth Peer Supports (H0038-WT) </w:t>
            </w:r>
          </w:p>
        </w:tc>
      </w:tr>
      <w:tr w:rsidR="000331FC" w:rsidRPr="00576A4E" w14:paraId="4889EFC8" w14:textId="77777777" w:rsidTr="00942BCF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7" w:type="dxa"/>
          </w:tcPr>
          <w:p w14:paraId="4F94DE3F" w14:textId="511957AA" w:rsidR="000331FC" w:rsidRPr="00E757AF" w:rsidRDefault="00373032" w:rsidP="000331FC">
            <w:pPr>
              <w:pStyle w:val="TableParagraph"/>
              <w:tabs>
                <w:tab w:val="left" w:pos="3871"/>
              </w:tabs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Partial Hospitalization Programs </w:t>
            </w:r>
            <w:r w:rsidRPr="00373032">
              <w:rPr>
                <w:rFonts w:asciiTheme="minorHAnsi" w:hAnsiTheme="minorHAnsi"/>
              </w:rPr>
              <w:t>(0912, 0913)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68" w:type="dxa"/>
          </w:tcPr>
          <w:p w14:paraId="1D1EFAD8" w14:textId="44C0BC91" w:rsidR="000331FC" w:rsidRPr="00E757AF" w:rsidRDefault="000331FC" w:rsidP="00E757AF">
            <w:pPr>
              <w:pStyle w:val="TableParagraph"/>
              <w:ind w:left="0"/>
              <w:rPr>
                <w:rFonts w:asciiTheme="minorHAnsi" w:hAnsiTheme="minorHAnsi"/>
              </w:rPr>
            </w:pPr>
            <w:r w:rsidRPr="00E757AF">
              <w:rPr>
                <w:rFonts w:asciiTheme="minorHAnsi" w:hAnsiTheme="minorHAnsi"/>
              </w:rPr>
              <w:t>Inpatient Psychiatric (0100, 0114, 0124, 0134, 0154)</w:t>
            </w:r>
          </w:p>
        </w:tc>
      </w:tr>
      <w:tr w:rsidR="001301B8" w:rsidRPr="00576A4E" w14:paraId="6BE51B36" w14:textId="77777777" w:rsidTr="00E77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7" w:type="dxa"/>
            <w:shd w:val="clear" w:color="auto" w:fill="auto"/>
          </w:tcPr>
          <w:p w14:paraId="7B54620E" w14:textId="29CB4972" w:rsidR="001301B8" w:rsidRPr="00E757AF" w:rsidRDefault="001301B8" w:rsidP="000331FC">
            <w:pPr>
              <w:pStyle w:val="TableParagraph"/>
              <w:tabs>
                <w:tab w:val="left" w:pos="3871"/>
              </w:tabs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Targeted Case Management (T1017)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68" w:type="dxa"/>
            <w:shd w:val="clear" w:color="auto" w:fill="auto"/>
          </w:tcPr>
          <w:p w14:paraId="6F42AC9E" w14:textId="30F08DC7" w:rsidR="001301B8" w:rsidRDefault="009859DF" w:rsidP="00E757AF">
            <w:pPr>
              <w:pStyle w:val="TableParagraph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Pre-Admission Screen (T1023)</w:t>
            </w:r>
          </w:p>
        </w:tc>
      </w:tr>
      <w:tr w:rsidR="00E272F1" w:rsidRPr="00576A4E" w14:paraId="3113BBAF" w14:textId="77777777" w:rsidTr="00E77F44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7" w:type="dxa"/>
          </w:tcPr>
          <w:p w14:paraId="7ADF5EAA" w14:textId="15A40A7C" w:rsidR="00E272F1" w:rsidRPr="00E757AF" w:rsidRDefault="009859DF" w:rsidP="000331FC">
            <w:pPr>
              <w:pStyle w:val="TableParagraph"/>
              <w:tabs>
                <w:tab w:val="left" w:pos="3871"/>
              </w:tabs>
              <w:ind w:left="0"/>
              <w:rPr>
                <w:rFonts w:asciiTheme="minorHAnsi" w:hAnsiTheme="minorHAnsi"/>
              </w:rPr>
            </w:pPr>
            <w:bookmarkStart w:id="3" w:name="_Hlk201577959"/>
            <w:r>
              <w:rPr>
                <w:rFonts w:asciiTheme="minorHAnsi" w:hAnsiTheme="minorHAnsi"/>
              </w:rPr>
              <w:t>Pre-Admission Screen (T1023)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68" w:type="dxa"/>
          </w:tcPr>
          <w:p w14:paraId="663F9A6A" w14:textId="143BEEED" w:rsidR="00E272F1" w:rsidRDefault="00E272F1" w:rsidP="00E757AF">
            <w:pPr>
              <w:pStyle w:val="TableParagraph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Autism Service Evaluations </w:t>
            </w:r>
            <w:bookmarkStart w:id="4" w:name="_Hlk199226281"/>
            <w:r>
              <w:rPr>
                <w:rFonts w:asciiTheme="minorHAnsi" w:hAnsiTheme="minorHAnsi"/>
              </w:rPr>
              <w:t xml:space="preserve">(90791, 90792, 96110, 96112, 96113, 96127, 96116, 96121, 96130, 96131, </w:t>
            </w:r>
            <w:proofErr w:type="gramStart"/>
            <w:r>
              <w:rPr>
                <w:rFonts w:asciiTheme="minorHAnsi" w:hAnsiTheme="minorHAnsi"/>
              </w:rPr>
              <w:t>96132, 96133, 96136, 96137, 96138</w:t>
            </w:r>
            <w:proofErr w:type="gramEnd"/>
            <w:r>
              <w:rPr>
                <w:rFonts w:asciiTheme="minorHAnsi" w:hAnsiTheme="minorHAnsi"/>
              </w:rPr>
              <w:t xml:space="preserve">, 96139, </w:t>
            </w:r>
            <w:r w:rsidR="00A330CB" w:rsidRPr="00A330CB">
              <w:rPr>
                <w:rFonts w:asciiTheme="minorHAnsi" w:hAnsiTheme="minorHAnsi"/>
              </w:rPr>
              <w:t>96146</w:t>
            </w:r>
            <w:r w:rsidR="00A330CB">
              <w:rPr>
                <w:rFonts w:asciiTheme="minorHAnsi" w:hAnsiTheme="minorHAnsi"/>
              </w:rPr>
              <w:t xml:space="preserve">, </w:t>
            </w:r>
            <w:r>
              <w:rPr>
                <w:rFonts w:asciiTheme="minorHAnsi" w:hAnsiTheme="minorHAnsi"/>
              </w:rPr>
              <w:t>H0031)</w:t>
            </w:r>
            <w:bookmarkEnd w:id="4"/>
          </w:p>
        </w:tc>
      </w:tr>
      <w:tr w:rsidR="00E77F44" w:rsidRPr="00576A4E" w14:paraId="1D0EEFB7" w14:textId="77777777" w:rsidTr="00942B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7" w:type="dxa"/>
            <w:shd w:val="clear" w:color="auto" w:fill="auto"/>
          </w:tcPr>
          <w:p w14:paraId="78C7F186" w14:textId="1E8C23BC" w:rsidR="00E77F44" w:rsidRPr="00E757AF" w:rsidRDefault="006A6ECD" w:rsidP="00E77F44">
            <w:pPr>
              <w:pStyle w:val="TableParagraph"/>
              <w:tabs>
                <w:tab w:val="left" w:pos="3871"/>
              </w:tabs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Outpatient </w:t>
            </w:r>
            <w:r w:rsidR="00BE0027">
              <w:rPr>
                <w:rFonts w:asciiTheme="minorHAnsi" w:hAnsiTheme="minorHAnsi"/>
              </w:rPr>
              <w:t xml:space="preserve">Clinical </w:t>
            </w:r>
            <w:r>
              <w:rPr>
                <w:rFonts w:asciiTheme="minorHAnsi" w:hAnsiTheme="minorHAnsi"/>
              </w:rPr>
              <w:t xml:space="preserve">Mental Health </w:t>
            </w:r>
            <w:r w:rsidR="00AF6AA1">
              <w:rPr>
                <w:rFonts w:asciiTheme="minorHAnsi" w:hAnsiTheme="minorHAnsi"/>
              </w:rPr>
              <w:t>(</w:t>
            </w:r>
            <w:r w:rsidR="00AF6AA1" w:rsidRPr="00AF6AA1">
              <w:rPr>
                <w:rFonts w:asciiTheme="minorHAnsi" w:hAnsiTheme="minorHAnsi"/>
              </w:rPr>
              <w:t>90832</w:t>
            </w:r>
            <w:r w:rsidR="00AF6AA1">
              <w:rPr>
                <w:rFonts w:asciiTheme="minorHAnsi" w:hAnsiTheme="minorHAnsi"/>
              </w:rPr>
              <w:t>, 90834</w:t>
            </w:r>
            <w:r w:rsidR="001A262C">
              <w:rPr>
                <w:rFonts w:asciiTheme="minorHAnsi" w:hAnsiTheme="minorHAnsi"/>
              </w:rPr>
              <w:t>, 90837</w:t>
            </w:r>
            <w:r w:rsidR="00AF6AA1">
              <w:rPr>
                <w:rFonts w:asciiTheme="minorHAnsi" w:hAnsiTheme="minorHAnsi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68" w:type="dxa"/>
            <w:shd w:val="clear" w:color="auto" w:fill="auto"/>
          </w:tcPr>
          <w:p w14:paraId="29898DBA" w14:textId="18F487A5" w:rsidR="00E77F44" w:rsidRPr="00E757AF" w:rsidRDefault="00E77F44" w:rsidP="00E77F44">
            <w:pPr>
              <w:pStyle w:val="TableParagraph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Autism Services (97153, 97154)</w:t>
            </w:r>
          </w:p>
        </w:tc>
      </w:tr>
      <w:tr w:rsidR="00E77F44" w:rsidRPr="00576A4E" w14:paraId="7DD2E39C" w14:textId="77777777" w:rsidTr="00942BCF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7" w:type="dxa"/>
          </w:tcPr>
          <w:p w14:paraId="247C1485" w14:textId="13EE29E5" w:rsidR="00E77F44" w:rsidRPr="00E757AF" w:rsidRDefault="00E77F44" w:rsidP="00E77F44">
            <w:pPr>
              <w:pStyle w:val="TableParagraph"/>
              <w:tabs>
                <w:tab w:val="left" w:pos="3871"/>
              </w:tabs>
              <w:ind w:left="0"/>
              <w:rPr>
                <w:rFonts w:asciiTheme="minorHAnsi" w:hAnsiTheme="min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68" w:type="dxa"/>
          </w:tcPr>
          <w:p w14:paraId="472BFE98" w14:textId="421A0ABB" w:rsidR="00E77F44" w:rsidRDefault="00E77F44" w:rsidP="00E77F44">
            <w:pPr>
              <w:pStyle w:val="TableParagraph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Autism Services (97151, 97155, 97156, 97157, 97158, 0373T)</w:t>
            </w:r>
          </w:p>
        </w:tc>
      </w:tr>
      <w:bookmarkEnd w:id="3"/>
      <w:tr w:rsidR="00E77F44" w:rsidRPr="00576A4E" w14:paraId="0FCF9143" w14:textId="77777777" w:rsidTr="00942B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auto"/>
          </w:tcPr>
          <w:p w14:paraId="0ADB3DAB" w14:textId="77777777" w:rsidR="00E77F44" w:rsidRPr="00E757AF" w:rsidRDefault="00E77F44" w:rsidP="00E77F44">
            <w:pPr>
              <w:pStyle w:val="TableParagraph"/>
              <w:tabs>
                <w:tab w:val="left" w:pos="3871"/>
              </w:tabs>
              <w:ind w:left="0"/>
              <w:rPr>
                <w:rFonts w:asciiTheme="minorHAnsi" w:hAnsiTheme="min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dxa"/>
            <w:shd w:val="clear" w:color="auto" w:fill="auto"/>
          </w:tcPr>
          <w:p w14:paraId="17D98BA9" w14:textId="38B70510" w:rsidR="00E77F44" w:rsidRDefault="001D74BF" w:rsidP="00E77F44">
            <w:pPr>
              <w:pStyle w:val="TableParagraph"/>
              <w:ind w:left="0"/>
              <w:rPr>
                <w:rFonts w:asciiTheme="minorHAnsi" w:hAnsiTheme="minorHAnsi"/>
              </w:rPr>
            </w:pPr>
            <w:r w:rsidRPr="001D74BF">
              <w:rPr>
                <w:rFonts w:asciiTheme="minorHAnsi" w:hAnsiTheme="minorHAnsi"/>
              </w:rPr>
              <w:t>Community Living Supports (H2015)</w:t>
            </w:r>
          </w:p>
        </w:tc>
      </w:tr>
      <w:tr w:rsidR="00373032" w:rsidRPr="00576A4E" w14:paraId="0E3014FE" w14:textId="77777777" w:rsidTr="00942BCF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134C91EF" w14:textId="77777777" w:rsidR="00373032" w:rsidRPr="00E757AF" w:rsidRDefault="00373032" w:rsidP="00E77F44">
            <w:pPr>
              <w:pStyle w:val="TableParagraph"/>
              <w:tabs>
                <w:tab w:val="left" w:pos="3871"/>
              </w:tabs>
              <w:ind w:left="0"/>
              <w:rPr>
                <w:rFonts w:asciiTheme="minorHAnsi" w:hAnsiTheme="min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dxa"/>
          </w:tcPr>
          <w:p w14:paraId="7B873CB0" w14:textId="5295C4D2" w:rsidR="00373032" w:rsidRPr="001D74BF" w:rsidRDefault="00373032" w:rsidP="00E77F44">
            <w:pPr>
              <w:pStyle w:val="TableParagraph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Partial Hospitalization Programs (0912, 0913)</w:t>
            </w:r>
          </w:p>
        </w:tc>
      </w:tr>
      <w:tr w:rsidR="009859DF" w:rsidRPr="00576A4E" w14:paraId="745968A1" w14:textId="77777777" w:rsidTr="00942B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auto"/>
          </w:tcPr>
          <w:p w14:paraId="30FA8F6F" w14:textId="77777777" w:rsidR="009859DF" w:rsidRPr="00E757AF" w:rsidRDefault="009859DF" w:rsidP="00E77F44">
            <w:pPr>
              <w:pStyle w:val="TableParagraph"/>
              <w:tabs>
                <w:tab w:val="left" w:pos="3871"/>
              </w:tabs>
              <w:ind w:left="0"/>
              <w:rPr>
                <w:rFonts w:asciiTheme="minorHAnsi" w:hAnsiTheme="min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dxa"/>
            <w:shd w:val="clear" w:color="auto" w:fill="auto"/>
          </w:tcPr>
          <w:p w14:paraId="175D60DB" w14:textId="55A0D232" w:rsidR="009859DF" w:rsidRDefault="009859DF" w:rsidP="00E77F44">
            <w:pPr>
              <w:pStyle w:val="TableParagraph"/>
              <w:ind w:left="0"/>
              <w:rPr>
                <w:rFonts w:asciiTheme="minorHAnsi" w:hAnsiTheme="minorHAnsi"/>
              </w:rPr>
            </w:pPr>
            <w:r w:rsidRPr="009859DF">
              <w:rPr>
                <w:rFonts w:asciiTheme="minorHAnsi" w:hAnsiTheme="minorHAnsi"/>
              </w:rPr>
              <w:t>Targeted Case Management (T1017)</w:t>
            </w:r>
          </w:p>
        </w:tc>
      </w:tr>
      <w:tr w:rsidR="006A6ECD" w:rsidRPr="00576A4E" w14:paraId="7AAD296A" w14:textId="77777777" w:rsidTr="006A6EC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none" w:sz="0" w:space="0" w:color="auto"/>
            </w:tcBorders>
          </w:tcPr>
          <w:p w14:paraId="074214EA" w14:textId="77777777" w:rsidR="006A6ECD" w:rsidRPr="00E757AF" w:rsidRDefault="006A6ECD" w:rsidP="00E77F44">
            <w:pPr>
              <w:pStyle w:val="TableParagraph"/>
              <w:tabs>
                <w:tab w:val="left" w:pos="3871"/>
              </w:tabs>
              <w:ind w:left="0"/>
              <w:rPr>
                <w:rFonts w:asciiTheme="minorHAnsi" w:hAnsiTheme="min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dxa"/>
            <w:tcBorders>
              <w:top w:val="none" w:sz="0" w:space="0" w:color="auto"/>
            </w:tcBorders>
          </w:tcPr>
          <w:p w14:paraId="0D290B8F" w14:textId="2372B2DF" w:rsidR="006A6ECD" w:rsidRPr="009859DF" w:rsidRDefault="006A6ECD" w:rsidP="00E77F44">
            <w:pPr>
              <w:pStyle w:val="TableParagraph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Outpatient </w:t>
            </w:r>
            <w:r w:rsidR="00BE0027">
              <w:rPr>
                <w:rFonts w:asciiTheme="minorHAnsi" w:hAnsiTheme="minorHAnsi"/>
              </w:rPr>
              <w:t xml:space="preserve">Clinical Mental Health </w:t>
            </w:r>
            <w:r w:rsidR="00AF6AA1">
              <w:rPr>
                <w:rFonts w:asciiTheme="minorHAnsi" w:hAnsiTheme="minorHAnsi"/>
              </w:rPr>
              <w:t>(</w:t>
            </w:r>
            <w:r w:rsidR="00AF6AA1" w:rsidRPr="00AF6AA1">
              <w:rPr>
                <w:rFonts w:asciiTheme="minorHAnsi" w:hAnsiTheme="minorHAnsi"/>
              </w:rPr>
              <w:t>90832</w:t>
            </w:r>
            <w:r w:rsidR="00AF6AA1">
              <w:rPr>
                <w:rFonts w:asciiTheme="minorHAnsi" w:hAnsiTheme="minorHAnsi"/>
              </w:rPr>
              <w:t>, 9083</w:t>
            </w:r>
            <w:r w:rsidR="00E60643">
              <w:rPr>
                <w:rFonts w:asciiTheme="minorHAnsi" w:hAnsiTheme="minorHAnsi"/>
              </w:rPr>
              <w:t>4</w:t>
            </w:r>
            <w:r w:rsidR="00AF6AA1">
              <w:rPr>
                <w:rFonts w:asciiTheme="minorHAnsi" w:hAnsiTheme="minorHAnsi"/>
              </w:rPr>
              <w:t>, 9083</w:t>
            </w:r>
            <w:r w:rsidR="00E60643">
              <w:rPr>
                <w:rFonts w:asciiTheme="minorHAnsi" w:hAnsiTheme="minorHAnsi"/>
              </w:rPr>
              <w:t>7</w:t>
            </w:r>
            <w:r w:rsidR="00AF6AA1">
              <w:rPr>
                <w:rFonts w:asciiTheme="minorHAnsi" w:hAnsiTheme="minorHAnsi"/>
              </w:rPr>
              <w:t>)</w:t>
            </w:r>
          </w:p>
        </w:tc>
      </w:tr>
    </w:tbl>
    <w:bookmarkEnd w:id="2"/>
    <w:p w14:paraId="297A3BB2" w14:textId="7212581A" w:rsidR="00DE0299" w:rsidRDefault="00DE0299">
      <w:pPr>
        <w:rPr>
          <w:sz w:val="22"/>
          <w:szCs w:val="22"/>
        </w:rPr>
      </w:pPr>
      <w:r w:rsidRPr="00E757AF">
        <w:rPr>
          <w:sz w:val="22"/>
          <w:szCs w:val="22"/>
        </w:rPr>
        <w:t xml:space="preserve">Time/distance standards are categorized by </w:t>
      </w:r>
      <w:r w:rsidRPr="00E757AF">
        <w:rPr>
          <w:color w:val="000000" w:themeColor="text1"/>
          <w:sz w:val="22"/>
          <w:szCs w:val="22"/>
        </w:rPr>
        <w:t>Large Metro, Metro, Micro, Rural, and Counties with Extreme Access Considerations (CEA</w:t>
      </w:r>
      <w:r w:rsidR="00780B6A">
        <w:rPr>
          <w:color w:val="000000" w:themeColor="text1"/>
          <w:sz w:val="22"/>
          <w:szCs w:val="22"/>
        </w:rPr>
        <w:t>C</w:t>
      </w:r>
      <w:r w:rsidRPr="00E757AF">
        <w:rPr>
          <w:color w:val="000000" w:themeColor="text1"/>
          <w:sz w:val="22"/>
          <w:szCs w:val="22"/>
        </w:rPr>
        <w:t>)</w:t>
      </w:r>
      <w:r w:rsidR="00E757AF" w:rsidRPr="00E757AF">
        <w:rPr>
          <w:vertAlign w:val="superscript"/>
        </w:rPr>
        <w:t xml:space="preserve"> </w:t>
      </w:r>
      <w:r w:rsidR="00E757AF">
        <w:rPr>
          <w:vertAlign w:val="superscript"/>
        </w:rPr>
        <w:t>1</w:t>
      </w:r>
      <w:r w:rsidRPr="00E757AF">
        <w:rPr>
          <w:color w:val="000000" w:themeColor="text1"/>
          <w:sz w:val="22"/>
          <w:szCs w:val="22"/>
        </w:rPr>
        <w:t xml:space="preserve">.  </w:t>
      </w:r>
      <w:r w:rsidRPr="00E757AF">
        <w:rPr>
          <w:sz w:val="22"/>
          <w:szCs w:val="22"/>
        </w:rPr>
        <w:t xml:space="preserve">The </w:t>
      </w:r>
      <w:r w:rsidR="006528E2">
        <w:rPr>
          <w:sz w:val="22"/>
          <w:szCs w:val="22"/>
        </w:rPr>
        <w:t>provider-to-enrollee</w:t>
      </w:r>
      <w:r w:rsidRPr="00E757AF">
        <w:rPr>
          <w:sz w:val="22"/>
          <w:szCs w:val="22"/>
        </w:rPr>
        <w:t xml:space="preserve"> ratio standards apply to all services except inpatient psychiatric services</w:t>
      </w:r>
      <w:r w:rsidR="00F406A4">
        <w:rPr>
          <w:sz w:val="22"/>
          <w:szCs w:val="22"/>
        </w:rPr>
        <w:t xml:space="preserve"> and partial hospitalization programs</w:t>
      </w:r>
      <w:r w:rsidRPr="00E757AF">
        <w:rPr>
          <w:sz w:val="22"/>
          <w:szCs w:val="22"/>
        </w:rPr>
        <w:t>. In adherence to the federal rules and MSA Policy 18-49, the following standards are in effect for all PIHP contracts</w:t>
      </w:r>
      <w:r w:rsidR="00504ABC">
        <w:rPr>
          <w:sz w:val="22"/>
          <w:szCs w:val="22"/>
        </w:rPr>
        <w:t xml:space="preserve"> beginning in the </w:t>
      </w:r>
      <w:r w:rsidR="00504ABC" w:rsidRPr="00E757AF">
        <w:rPr>
          <w:color w:val="000000" w:themeColor="text1"/>
          <w:sz w:val="22"/>
          <w:szCs w:val="22"/>
        </w:rPr>
        <w:t>Fiscal Year 202</w:t>
      </w:r>
      <w:r w:rsidR="0048622B">
        <w:rPr>
          <w:color w:val="000000" w:themeColor="text1"/>
          <w:sz w:val="22"/>
          <w:szCs w:val="22"/>
        </w:rPr>
        <w:t>6</w:t>
      </w:r>
      <w:r w:rsidR="00504ABC" w:rsidRPr="00E757AF">
        <w:rPr>
          <w:color w:val="000000" w:themeColor="text1"/>
          <w:sz w:val="22"/>
          <w:szCs w:val="22"/>
        </w:rPr>
        <w:t xml:space="preserve"> </w:t>
      </w:r>
      <w:r w:rsidR="00504ABC">
        <w:rPr>
          <w:sz w:val="22"/>
          <w:szCs w:val="22"/>
        </w:rPr>
        <w:t>reporting period</w:t>
      </w:r>
      <w:r w:rsidR="00284D13">
        <w:rPr>
          <w:sz w:val="22"/>
          <w:szCs w:val="22"/>
        </w:rPr>
        <w:t>:</w:t>
      </w:r>
    </w:p>
    <w:p w14:paraId="181B6AD2" w14:textId="77777777" w:rsidR="00B5139F" w:rsidRDefault="00B5139F">
      <w:pPr>
        <w:rPr>
          <w:sz w:val="22"/>
          <w:szCs w:val="22"/>
        </w:rPr>
      </w:pPr>
    </w:p>
    <w:p w14:paraId="02240F48" w14:textId="77777777" w:rsidR="0023089C" w:rsidRDefault="0023089C">
      <w:pPr>
        <w:rPr>
          <w:sz w:val="22"/>
          <w:szCs w:val="22"/>
        </w:rPr>
      </w:pPr>
    </w:p>
    <w:p w14:paraId="66879B9C" w14:textId="0ADF5A6A" w:rsidR="00764DBA" w:rsidRPr="00764DBA" w:rsidRDefault="00764DBA" w:rsidP="00764DBA">
      <w:pPr>
        <w:rPr>
          <w:b/>
          <w:bCs/>
          <w:sz w:val="22"/>
          <w:szCs w:val="22"/>
        </w:rPr>
      </w:pPr>
      <w:r w:rsidRPr="00764DBA">
        <w:rPr>
          <w:b/>
          <w:bCs/>
          <w:sz w:val="22"/>
          <w:szCs w:val="22"/>
        </w:rPr>
        <w:t xml:space="preserve">Time and Distance Standards: </w:t>
      </w:r>
    </w:p>
    <w:p w14:paraId="04B5C039" w14:textId="2B5FBFB3" w:rsidR="00C47B11" w:rsidRPr="00C47B11" w:rsidRDefault="000558EA" w:rsidP="00C47B11">
      <w:pPr>
        <w:spacing w:after="6" w:line="267" w:lineRule="exact"/>
        <w:rPr>
          <w:i/>
          <w:color w:val="000000" w:themeColor="text1"/>
          <w:spacing w:val="-2"/>
          <w:sz w:val="22"/>
          <w:szCs w:val="22"/>
          <w:u w:val="single"/>
        </w:rPr>
      </w:pPr>
      <w:r w:rsidRPr="00E757AF">
        <w:rPr>
          <w:i/>
          <w:color w:val="000000" w:themeColor="text1"/>
          <w:spacing w:val="-2"/>
          <w:sz w:val="22"/>
          <w:szCs w:val="22"/>
          <w:u w:val="single"/>
        </w:rPr>
        <w:t>Adults/</w:t>
      </w:r>
      <w:r w:rsidR="007848AD">
        <w:rPr>
          <w:i/>
          <w:color w:val="000000" w:themeColor="text1"/>
          <w:spacing w:val="-2"/>
          <w:sz w:val="22"/>
          <w:szCs w:val="22"/>
          <w:u w:val="single"/>
        </w:rPr>
        <w:t xml:space="preserve">Children and </w:t>
      </w:r>
      <w:r w:rsidR="00B73ACA">
        <w:rPr>
          <w:i/>
          <w:color w:val="000000" w:themeColor="text1"/>
          <w:spacing w:val="-2"/>
          <w:sz w:val="22"/>
          <w:szCs w:val="22"/>
          <w:u w:val="single"/>
        </w:rPr>
        <w:t>Y</w:t>
      </w:r>
      <w:r w:rsidR="007848AD">
        <w:rPr>
          <w:i/>
          <w:color w:val="000000" w:themeColor="text1"/>
          <w:spacing w:val="-2"/>
          <w:sz w:val="22"/>
          <w:szCs w:val="22"/>
          <w:u w:val="single"/>
        </w:rPr>
        <w:t>outh</w:t>
      </w:r>
    </w:p>
    <w:tbl>
      <w:tblPr>
        <w:tblStyle w:val="ListTable4-Accent1"/>
        <w:tblW w:w="9571" w:type="dxa"/>
        <w:tblLayout w:type="fixed"/>
        <w:tblLook w:val="01E0" w:firstRow="1" w:lastRow="1" w:firstColumn="1" w:lastColumn="1" w:noHBand="0" w:noVBand="0"/>
      </w:tblPr>
      <w:tblGrid>
        <w:gridCol w:w="1596"/>
        <w:gridCol w:w="1595"/>
        <w:gridCol w:w="1595"/>
        <w:gridCol w:w="1595"/>
        <w:gridCol w:w="1595"/>
        <w:gridCol w:w="1595"/>
      </w:tblGrid>
      <w:tr w:rsidR="00C47B11" w:rsidRPr="00576A4E" w14:paraId="075EFD0F" w14:textId="77777777" w:rsidTr="00B503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7678A064" w14:textId="77777777" w:rsidR="00C47B11" w:rsidRPr="00E757AF" w:rsidRDefault="00C47B11" w:rsidP="00B503A2">
            <w:pPr>
              <w:pStyle w:val="TableParagraph"/>
              <w:ind w:left="0" w:right="42"/>
              <w:jc w:val="center"/>
              <w:rPr>
                <w:rFonts w:asciiTheme="minorHAnsi" w:hAnsiTheme="minorHAnsi"/>
                <w:b w:val="0"/>
                <w:color w:val="000000" w:themeColor="text1"/>
                <w:u w:val="single"/>
              </w:rPr>
            </w:pPr>
            <w:r w:rsidRPr="00E757AF">
              <w:rPr>
                <w:rFonts w:asciiTheme="minorHAnsi" w:hAnsiTheme="minorHAnsi"/>
                <w:color w:val="000000" w:themeColor="text1"/>
                <w:spacing w:val="-2"/>
                <w:u w:val="single"/>
              </w:rPr>
              <w:t>Service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dxa"/>
          </w:tcPr>
          <w:p w14:paraId="0CAE042F" w14:textId="77777777" w:rsidR="00C47B11" w:rsidRPr="00E757AF" w:rsidRDefault="00C47B11" w:rsidP="00B503A2">
            <w:pPr>
              <w:pStyle w:val="TableParagraph"/>
              <w:jc w:val="center"/>
              <w:rPr>
                <w:rFonts w:asciiTheme="minorHAnsi" w:hAnsiTheme="minorHAnsi"/>
                <w:b w:val="0"/>
                <w:bCs w:val="0"/>
                <w:color w:val="000000" w:themeColor="text1"/>
                <w:u w:val="single"/>
              </w:rPr>
            </w:pPr>
            <w:r w:rsidRPr="00E757AF">
              <w:rPr>
                <w:rFonts w:asciiTheme="minorHAnsi" w:hAnsiTheme="minorHAnsi"/>
                <w:color w:val="000000" w:themeColor="text1"/>
                <w:u w:val="single"/>
              </w:rPr>
              <w:t>CEAU</w:t>
            </w:r>
          </w:p>
        </w:tc>
        <w:tc>
          <w:tcPr>
            <w:tcW w:w="0" w:type="dxa"/>
          </w:tcPr>
          <w:p w14:paraId="0AE32943" w14:textId="77777777" w:rsidR="00C47B11" w:rsidRPr="00E757AF" w:rsidRDefault="00C47B11" w:rsidP="00B503A2">
            <w:pPr>
              <w:pStyle w:val="TableParagraph"/>
              <w:ind w:left="0" w:right="4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color w:val="000000" w:themeColor="text1"/>
                <w:u w:val="single"/>
              </w:rPr>
            </w:pPr>
            <w:r w:rsidRPr="00E757AF">
              <w:rPr>
                <w:rFonts w:asciiTheme="minorHAnsi" w:hAnsiTheme="minorHAnsi"/>
                <w:color w:val="000000" w:themeColor="text1"/>
                <w:spacing w:val="-2"/>
                <w:u w:val="single"/>
              </w:rPr>
              <w:t>Rural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dxa"/>
          </w:tcPr>
          <w:p w14:paraId="47B2ACEE" w14:textId="77777777" w:rsidR="00C47B11" w:rsidRPr="00E757AF" w:rsidRDefault="00C47B11" w:rsidP="00B503A2">
            <w:pPr>
              <w:pStyle w:val="TableParagraph"/>
              <w:jc w:val="center"/>
              <w:rPr>
                <w:rFonts w:asciiTheme="minorHAnsi" w:hAnsiTheme="minorHAnsi"/>
                <w:b w:val="0"/>
                <w:bCs w:val="0"/>
                <w:color w:val="000000" w:themeColor="text1"/>
                <w:u w:val="single"/>
              </w:rPr>
            </w:pPr>
            <w:r w:rsidRPr="00E757AF">
              <w:rPr>
                <w:rFonts w:asciiTheme="minorHAnsi" w:hAnsiTheme="minorHAnsi"/>
                <w:color w:val="000000" w:themeColor="text1"/>
                <w:u w:val="single"/>
              </w:rPr>
              <w:t>Micro</w:t>
            </w:r>
          </w:p>
        </w:tc>
        <w:tc>
          <w:tcPr>
            <w:tcW w:w="0" w:type="dxa"/>
          </w:tcPr>
          <w:p w14:paraId="2CA10C24" w14:textId="77777777" w:rsidR="00C47B11" w:rsidRPr="00E757AF" w:rsidRDefault="00C47B11" w:rsidP="00B503A2">
            <w:pPr>
              <w:pStyle w:val="TableParagraph"/>
              <w:ind w:left="0" w:right="4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u w:val="single"/>
              </w:rPr>
            </w:pPr>
            <w:r w:rsidRPr="00E757AF">
              <w:rPr>
                <w:rFonts w:asciiTheme="minorHAnsi" w:hAnsiTheme="minorHAnsi"/>
                <w:color w:val="000000" w:themeColor="text1"/>
                <w:u w:val="single"/>
              </w:rPr>
              <w:t>Metro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dxa"/>
          </w:tcPr>
          <w:p w14:paraId="395B8736" w14:textId="77777777" w:rsidR="00C47B11" w:rsidRPr="00E757AF" w:rsidRDefault="00C47B11" w:rsidP="00B503A2">
            <w:pPr>
              <w:pStyle w:val="TableParagraph"/>
              <w:ind w:left="0" w:right="42"/>
              <w:jc w:val="center"/>
              <w:rPr>
                <w:rFonts w:asciiTheme="minorHAnsi" w:hAnsiTheme="minorHAnsi"/>
                <w:b w:val="0"/>
                <w:color w:val="000000" w:themeColor="text1"/>
                <w:u w:val="single"/>
              </w:rPr>
            </w:pPr>
            <w:r w:rsidRPr="00E757AF">
              <w:rPr>
                <w:rFonts w:asciiTheme="minorHAnsi" w:hAnsiTheme="minorHAnsi"/>
                <w:color w:val="000000" w:themeColor="text1"/>
                <w:spacing w:val="-2"/>
                <w:u w:val="single"/>
              </w:rPr>
              <w:t>Large Metro</w:t>
            </w:r>
          </w:p>
        </w:tc>
      </w:tr>
      <w:tr w:rsidR="00C47B11" w:rsidRPr="00576A4E" w14:paraId="685E7BDA" w14:textId="77777777" w:rsidTr="00B50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auto"/>
          </w:tcPr>
          <w:p w14:paraId="564974DD" w14:textId="6CEF175A" w:rsidR="00C47B11" w:rsidRPr="00C47B11" w:rsidRDefault="00C47B11" w:rsidP="00C47B11">
            <w:pPr>
              <w:pStyle w:val="TableParagraph"/>
              <w:ind w:left="0"/>
              <w:jc w:val="center"/>
              <w:rPr>
                <w:rFonts w:asciiTheme="minorHAnsi" w:hAnsiTheme="minorHAnsi"/>
                <w:color w:val="000000" w:themeColor="text1"/>
                <w:spacing w:val="-2"/>
                <w:sz w:val="20"/>
                <w:szCs w:val="20"/>
              </w:rPr>
            </w:pPr>
            <w:r w:rsidRPr="00E757AF">
              <w:rPr>
                <w:rFonts w:asciiTheme="minorHAnsi" w:hAnsiTheme="minorHAnsi"/>
                <w:color w:val="000000" w:themeColor="text1"/>
                <w:spacing w:val="-2"/>
                <w:sz w:val="20"/>
                <w:szCs w:val="20"/>
              </w:rPr>
              <w:t>Inpatient</w:t>
            </w:r>
            <w:r w:rsidRPr="00E757AF">
              <w:rPr>
                <w:rFonts w:asciiTheme="minorHAnsi" w:hAnsiTheme="minorHAnsi"/>
                <w:color w:val="000000" w:themeColor="text1"/>
                <w:spacing w:val="4"/>
                <w:sz w:val="20"/>
                <w:szCs w:val="20"/>
              </w:rPr>
              <w:t xml:space="preserve"> </w:t>
            </w:r>
            <w:r w:rsidRPr="00E757AF">
              <w:rPr>
                <w:rFonts w:asciiTheme="minorHAnsi" w:hAnsiTheme="minorHAnsi"/>
                <w:color w:val="000000" w:themeColor="text1"/>
                <w:spacing w:val="-2"/>
                <w:sz w:val="20"/>
                <w:szCs w:val="20"/>
              </w:rPr>
              <w:t>Psychiatric</w:t>
            </w:r>
            <w:r>
              <w:rPr>
                <w:rStyle w:val="FootnoteReference"/>
                <w:rFonts w:asciiTheme="minorHAnsi" w:hAnsiTheme="minorHAnsi"/>
                <w:color w:val="000000" w:themeColor="text1"/>
                <w:spacing w:val="-2"/>
                <w:sz w:val="20"/>
                <w:szCs w:val="20"/>
              </w:rPr>
              <w:t>2</w:t>
            </w:r>
            <w:r>
              <w:t xml:space="preserve"> </w:t>
            </w:r>
            <w:r>
              <w:rPr>
                <w:rFonts w:asciiTheme="minorHAnsi" w:hAnsiTheme="minorHAnsi"/>
                <w:color w:val="000000" w:themeColor="text1"/>
                <w:spacing w:val="-2"/>
                <w:sz w:val="20"/>
                <w:szCs w:val="20"/>
              </w:rPr>
              <w:t>and Partial Hospitalization Programs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dxa"/>
            <w:shd w:val="clear" w:color="auto" w:fill="auto"/>
          </w:tcPr>
          <w:p w14:paraId="5B151382" w14:textId="77777777" w:rsidR="00C47B11" w:rsidRPr="00E757AF" w:rsidRDefault="00C47B11" w:rsidP="00B503A2">
            <w:pPr>
              <w:pStyle w:val="TableParagraph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</w:pPr>
            <w:r w:rsidRPr="00E757AF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  <w:t>155 minutes/140 miles</w:t>
            </w:r>
          </w:p>
        </w:tc>
        <w:tc>
          <w:tcPr>
            <w:tcW w:w="0" w:type="dxa"/>
            <w:shd w:val="clear" w:color="auto" w:fill="auto"/>
          </w:tcPr>
          <w:p w14:paraId="529A382B" w14:textId="77777777" w:rsidR="00C47B11" w:rsidRPr="00E757AF" w:rsidRDefault="00C47B11" w:rsidP="00B503A2">
            <w:pPr>
              <w:pStyle w:val="Table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</w:pPr>
            <w:r w:rsidRPr="00E757AF">
              <w:rPr>
                <w:rFonts w:asciiTheme="minorHAnsi" w:hAnsiTheme="minorHAnsi"/>
                <w:b/>
                <w:bCs/>
                <w:color w:val="000000" w:themeColor="text1"/>
                <w:spacing w:val="-1"/>
                <w:sz w:val="20"/>
                <w:szCs w:val="20"/>
              </w:rPr>
              <w:t xml:space="preserve">90 </w:t>
            </w:r>
            <w:r w:rsidRPr="00E757AF">
              <w:rPr>
                <w:rFonts w:asciiTheme="minorHAnsi" w:hAnsiTheme="minorHAnsi"/>
                <w:b/>
                <w:bCs/>
                <w:color w:val="000000" w:themeColor="text1"/>
                <w:spacing w:val="-2"/>
                <w:sz w:val="20"/>
                <w:szCs w:val="20"/>
              </w:rPr>
              <w:t>minutes/75</w:t>
            </w:r>
            <w:r w:rsidRPr="00E757AF">
              <w:rPr>
                <w:rFonts w:asciiTheme="minorHAnsi" w:hAnsiTheme="minorHAnsi"/>
                <w:b/>
                <w:bCs/>
                <w:color w:val="000000" w:themeColor="text1"/>
                <w:spacing w:val="4"/>
                <w:sz w:val="20"/>
                <w:szCs w:val="20"/>
              </w:rPr>
              <w:t xml:space="preserve"> </w:t>
            </w:r>
            <w:r w:rsidRPr="00E757AF">
              <w:rPr>
                <w:rFonts w:asciiTheme="minorHAnsi" w:hAnsiTheme="minorHAnsi"/>
                <w:b/>
                <w:bCs/>
                <w:color w:val="000000" w:themeColor="text1"/>
                <w:spacing w:val="-4"/>
                <w:sz w:val="20"/>
                <w:szCs w:val="20"/>
              </w:rPr>
              <w:t>miles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dxa"/>
            <w:shd w:val="clear" w:color="auto" w:fill="auto"/>
          </w:tcPr>
          <w:p w14:paraId="0169B094" w14:textId="77777777" w:rsidR="00C47B11" w:rsidRPr="00E757AF" w:rsidRDefault="00C47B11" w:rsidP="00B503A2">
            <w:pPr>
              <w:pStyle w:val="TableParagraph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</w:pPr>
            <w:r w:rsidRPr="00E757AF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  <w:t>100 minutes/75 miles</w:t>
            </w:r>
          </w:p>
        </w:tc>
        <w:tc>
          <w:tcPr>
            <w:tcW w:w="0" w:type="dxa"/>
            <w:shd w:val="clear" w:color="auto" w:fill="auto"/>
          </w:tcPr>
          <w:p w14:paraId="4EA7C0E8" w14:textId="77777777" w:rsidR="00C47B11" w:rsidRPr="00E757AF" w:rsidRDefault="00C47B11" w:rsidP="00B503A2">
            <w:pPr>
              <w:pStyle w:val="Table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</w:pPr>
            <w:r w:rsidRPr="00E757AF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  <w:t>70</w:t>
            </w:r>
            <w:r w:rsidRPr="00E757AF">
              <w:rPr>
                <w:rFonts w:asciiTheme="minorHAnsi" w:hAnsiTheme="minorHAnsi"/>
                <w:b/>
                <w:bCs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E757AF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  <w:t>minutes/45</w:t>
            </w:r>
            <w:r w:rsidRPr="00E757AF">
              <w:rPr>
                <w:rFonts w:asciiTheme="minorHAnsi" w:hAnsiTheme="minorHAnsi"/>
                <w:b/>
                <w:bCs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E757AF">
              <w:rPr>
                <w:rFonts w:asciiTheme="minorHAnsi" w:hAnsiTheme="minorHAnsi"/>
                <w:b/>
                <w:bCs/>
                <w:color w:val="000000" w:themeColor="text1"/>
                <w:spacing w:val="-2"/>
                <w:sz w:val="20"/>
                <w:szCs w:val="20"/>
              </w:rPr>
              <w:t>miles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dxa"/>
            <w:shd w:val="clear" w:color="auto" w:fill="auto"/>
          </w:tcPr>
          <w:p w14:paraId="14A06564" w14:textId="77777777" w:rsidR="00C47B11" w:rsidRPr="00E757AF" w:rsidRDefault="00C47B11" w:rsidP="00B503A2">
            <w:pPr>
              <w:pStyle w:val="TableParagraph"/>
              <w:ind w:left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E757AF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30</w:t>
            </w:r>
            <w:r w:rsidRPr="00E757AF">
              <w:rPr>
                <w:rFonts w:asciiTheme="minorHAnsi" w:hAnsiTheme="minorHAnsi"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E757AF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minutes/15</w:t>
            </w:r>
            <w:r w:rsidRPr="00E757AF">
              <w:rPr>
                <w:rFonts w:asciiTheme="minorHAnsi" w:hAnsiTheme="minorHAnsi"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E757AF">
              <w:rPr>
                <w:rFonts w:asciiTheme="minorHAnsi" w:hAnsiTheme="minorHAnsi"/>
                <w:color w:val="000000" w:themeColor="text1"/>
                <w:spacing w:val="-2"/>
                <w:sz w:val="20"/>
                <w:szCs w:val="20"/>
              </w:rPr>
              <w:t>miles</w:t>
            </w:r>
          </w:p>
        </w:tc>
      </w:tr>
      <w:tr w:rsidR="00C47B11" w:rsidRPr="00576A4E" w14:paraId="47AB697D" w14:textId="77777777" w:rsidTr="00B503A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0BC241D3" w14:textId="77777777" w:rsidR="00C47B11" w:rsidRPr="00E757AF" w:rsidRDefault="00C47B11" w:rsidP="00B503A2">
            <w:pPr>
              <w:pStyle w:val="TableParagraph"/>
              <w:ind w:left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E757AF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All Other Services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dxa"/>
            <w:shd w:val="clear" w:color="auto" w:fill="auto"/>
          </w:tcPr>
          <w:p w14:paraId="3663F725" w14:textId="77777777" w:rsidR="00C47B11" w:rsidRPr="00E757AF" w:rsidRDefault="00C47B11" w:rsidP="00B503A2">
            <w:pPr>
              <w:pStyle w:val="TableParagraph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E757AF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118 minutes/105 miles</w:t>
            </w:r>
          </w:p>
        </w:tc>
        <w:tc>
          <w:tcPr>
            <w:tcW w:w="0" w:type="dxa"/>
          </w:tcPr>
          <w:p w14:paraId="340D28D3" w14:textId="77777777" w:rsidR="00C47B11" w:rsidRPr="00E757AF" w:rsidRDefault="00C47B11" w:rsidP="00B503A2">
            <w:pPr>
              <w:pStyle w:val="TableParagraph"/>
              <w:ind w:left="0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E757AF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75 minutes/60 miles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dxa"/>
            <w:shd w:val="clear" w:color="auto" w:fill="auto"/>
          </w:tcPr>
          <w:p w14:paraId="77E3ED15" w14:textId="77777777" w:rsidR="00C47B11" w:rsidRPr="00E757AF" w:rsidRDefault="00C47B11" w:rsidP="00B503A2">
            <w:pPr>
              <w:pStyle w:val="TableParagraph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E757AF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70 minutes/53 miles</w:t>
            </w:r>
          </w:p>
        </w:tc>
        <w:tc>
          <w:tcPr>
            <w:tcW w:w="0" w:type="dxa"/>
          </w:tcPr>
          <w:p w14:paraId="7E0B34F0" w14:textId="77777777" w:rsidR="00C47B11" w:rsidRPr="00E757AF" w:rsidRDefault="00C47B11" w:rsidP="00B503A2">
            <w:pPr>
              <w:pStyle w:val="TableParagraph"/>
              <w:ind w:left="0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E757AF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45 minutes/30 miles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dxa"/>
          </w:tcPr>
          <w:p w14:paraId="0EFAD433" w14:textId="77777777" w:rsidR="00C47B11" w:rsidRPr="00E757AF" w:rsidRDefault="00C47B11" w:rsidP="00B503A2">
            <w:pPr>
              <w:pStyle w:val="TableParagraph"/>
              <w:ind w:left="0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E757AF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20 minutes/10 miles</w:t>
            </w:r>
          </w:p>
        </w:tc>
      </w:tr>
    </w:tbl>
    <w:p w14:paraId="1C2176D1" w14:textId="5BF1E558" w:rsidR="00DE0299" w:rsidRPr="00942BCF" w:rsidRDefault="00AD3478" w:rsidP="00AD3478">
      <w:pPr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 xml:space="preserve">All </w:t>
      </w:r>
      <w:r w:rsidR="00371123">
        <w:rPr>
          <w:b/>
          <w:bCs/>
          <w:sz w:val="20"/>
          <w:szCs w:val="20"/>
          <w:u w:val="single"/>
        </w:rPr>
        <w:t xml:space="preserve">other services </w:t>
      </w:r>
      <w:r w:rsidR="006A6ECD">
        <w:rPr>
          <w:b/>
          <w:bCs/>
          <w:sz w:val="20"/>
          <w:szCs w:val="20"/>
          <w:u w:val="single"/>
        </w:rPr>
        <w:t>include</w:t>
      </w:r>
      <w:r w:rsidR="00371123">
        <w:rPr>
          <w:b/>
          <w:bCs/>
          <w:sz w:val="20"/>
          <w:szCs w:val="20"/>
          <w:u w:val="single"/>
        </w:rPr>
        <w:t xml:space="preserve"> the following services: Psychosocial Rehabilitation, Crisis Residential, and Opioid Treatment Programs. </w:t>
      </w:r>
    </w:p>
    <w:p w14:paraId="4D523D57" w14:textId="170EB9C2" w:rsidR="00186079" w:rsidRPr="00E757AF" w:rsidRDefault="00186079">
      <w:pPr>
        <w:rPr>
          <w:b/>
          <w:bCs/>
          <w:sz w:val="22"/>
          <w:szCs w:val="22"/>
          <w:u w:val="single"/>
        </w:rPr>
      </w:pPr>
      <w:r w:rsidRPr="00E757AF">
        <w:rPr>
          <w:b/>
          <w:bCs/>
          <w:sz w:val="22"/>
          <w:szCs w:val="22"/>
          <w:u w:val="single"/>
        </w:rPr>
        <w:t xml:space="preserve">Medicaid </w:t>
      </w:r>
      <w:r w:rsidR="00624A4E">
        <w:rPr>
          <w:b/>
          <w:bCs/>
          <w:sz w:val="22"/>
          <w:szCs w:val="22"/>
          <w:u w:val="single"/>
        </w:rPr>
        <w:t xml:space="preserve">Provider-to- Enrollee </w:t>
      </w:r>
      <w:r w:rsidRPr="00E757AF">
        <w:rPr>
          <w:b/>
          <w:bCs/>
          <w:sz w:val="22"/>
          <w:szCs w:val="22"/>
          <w:u w:val="single"/>
        </w:rPr>
        <w:t>Ratio Standards for Select Services</w:t>
      </w:r>
    </w:p>
    <w:p w14:paraId="5988322F" w14:textId="042FC5DA" w:rsidR="00822BF3" w:rsidRPr="00E757AF" w:rsidRDefault="00822BF3">
      <w:pPr>
        <w:rPr>
          <w:i/>
          <w:iCs/>
          <w:sz w:val="22"/>
          <w:szCs w:val="22"/>
          <w:u w:val="single"/>
        </w:rPr>
      </w:pPr>
      <w:r w:rsidRPr="00E757AF">
        <w:rPr>
          <w:i/>
          <w:iCs/>
          <w:sz w:val="22"/>
          <w:szCs w:val="22"/>
          <w:u w:val="single"/>
        </w:rPr>
        <w:t>Adult Standards</w:t>
      </w:r>
    </w:p>
    <w:tbl>
      <w:tblPr>
        <w:tblStyle w:val="ListTable3-Accent1"/>
        <w:tblW w:w="9535" w:type="dxa"/>
        <w:tblLayout w:type="fixed"/>
        <w:tblLook w:val="01E0" w:firstRow="1" w:lastRow="1" w:firstColumn="1" w:lastColumn="1" w:noHBand="0" w:noVBand="0"/>
      </w:tblPr>
      <w:tblGrid>
        <w:gridCol w:w="4767"/>
        <w:gridCol w:w="4768"/>
      </w:tblGrid>
      <w:tr w:rsidR="00186079" w:rsidRPr="00576A4E" w14:paraId="5FD1C831" w14:textId="77777777" w:rsidTr="002967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767" w:type="dxa"/>
            <w:vAlign w:val="center"/>
          </w:tcPr>
          <w:p w14:paraId="4AAF6898" w14:textId="77777777" w:rsidR="00186079" w:rsidRPr="00E757AF" w:rsidRDefault="00186079" w:rsidP="002967F3">
            <w:pPr>
              <w:pStyle w:val="TableParagraph"/>
              <w:ind w:left="0" w:right="42"/>
              <w:jc w:val="center"/>
              <w:rPr>
                <w:rFonts w:asciiTheme="minorHAnsi" w:hAnsiTheme="minorHAnsi"/>
                <w:b w:val="0"/>
              </w:rPr>
            </w:pPr>
            <w:bookmarkStart w:id="5" w:name="_Hlk183179003"/>
            <w:r w:rsidRPr="00E757AF">
              <w:rPr>
                <w:rFonts w:asciiTheme="minorHAnsi" w:hAnsiTheme="minorHAnsi"/>
                <w:color w:val="FFFFFF"/>
                <w:spacing w:val="-2"/>
              </w:rPr>
              <w:t>Service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4768" w:type="dxa"/>
            <w:vAlign w:val="center"/>
          </w:tcPr>
          <w:p w14:paraId="464C7725" w14:textId="78521F2C" w:rsidR="00186079" w:rsidRPr="00E757AF" w:rsidRDefault="00186079" w:rsidP="002967F3">
            <w:pPr>
              <w:pStyle w:val="TableParagraph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E757AF">
              <w:rPr>
                <w:rFonts w:asciiTheme="minorHAnsi" w:hAnsiTheme="minorHAnsi"/>
              </w:rPr>
              <w:t>Standard</w:t>
            </w:r>
          </w:p>
        </w:tc>
      </w:tr>
      <w:tr w:rsidR="00186079" w:rsidRPr="00576A4E" w14:paraId="20BDE6C4" w14:textId="77777777" w:rsidTr="00296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7" w:type="dxa"/>
            <w:vAlign w:val="center"/>
          </w:tcPr>
          <w:p w14:paraId="0DF9E7F4" w14:textId="76DDE630" w:rsidR="00186079" w:rsidRPr="00E757AF" w:rsidRDefault="00B74BFB" w:rsidP="002967F3">
            <w:pPr>
              <w:pStyle w:val="TableParagraph"/>
              <w:spacing w:before="0" w:line="240" w:lineRule="auto"/>
              <w:ind w:left="0"/>
              <w:contextualSpacing/>
              <w:rPr>
                <w:rFonts w:asciiTheme="minorHAnsi" w:hAnsiTheme="minorHAnsi"/>
              </w:rPr>
            </w:pPr>
            <w:r w:rsidRPr="00E757AF">
              <w:rPr>
                <w:rFonts w:asciiTheme="minorHAnsi" w:hAnsiTheme="minorHAnsi"/>
              </w:rPr>
              <w:t xml:space="preserve">Assertive Community Treatment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68" w:type="dxa"/>
            <w:vAlign w:val="center"/>
          </w:tcPr>
          <w:p w14:paraId="4744418C" w14:textId="6E7666A5" w:rsidR="00186079" w:rsidRPr="00E757AF" w:rsidRDefault="00786DA4" w:rsidP="002967F3">
            <w:pPr>
              <w:pStyle w:val="TableParagraph"/>
              <w:spacing w:before="0" w:line="240" w:lineRule="auto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1:</w:t>
            </w:r>
            <w:r w:rsidR="000A3C8E">
              <w:rPr>
                <w:rFonts w:asciiTheme="minorHAnsi" w:hAnsiTheme="minorHAnsi"/>
              </w:rPr>
              <w:t>30</w:t>
            </w:r>
            <w:r>
              <w:rPr>
                <w:rFonts w:asciiTheme="minorHAnsi" w:hAnsiTheme="minorHAnsi"/>
              </w:rPr>
              <w:t>,000</w:t>
            </w:r>
            <w:r w:rsidR="00B74BFB" w:rsidRPr="00E757AF">
              <w:rPr>
                <w:rFonts w:asciiTheme="minorHAnsi" w:hAnsiTheme="minorHAnsi"/>
              </w:rPr>
              <w:t xml:space="preserve"> (</w:t>
            </w:r>
            <w:r>
              <w:rPr>
                <w:rFonts w:asciiTheme="minorHAnsi" w:hAnsiTheme="minorHAnsi"/>
              </w:rPr>
              <w:t>Team to Medicaid Enrollee</w:t>
            </w:r>
            <w:r w:rsidR="00B74BFB" w:rsidRPr="00E757AF">
              <w:rPr>
                <w:rFonts w:asciiTheme="minorHAnsi" w:hAnsiTheme="minorHAnsi"/>
              </w:rPr>
              <w:t>)</w:t>
            </w:r>
          </w:p>
        </w:tc>
      </w:tr>
      <w:tr w:rsidR="00186079" w:rsidRPr="00576A4E" w14:paraId="426CD08C" w14:textId="77777777" w:rsidTr="002967F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7" w:type="dxa"/>
            <w:vAlign w:val="center"/>
          </w:tcPr>
          <w:p w14:paraId="7663A346" w14:textId="4DD6C682" w:rsidR="00186079" w:rsidRPr="00E757AF" w:rsidRDefault="00B74BFB" w:rsidP="002967F3">
            <w:pPr>
              <w:pStyle w:val="TableParagraph"/>
              <w:tabs>
                <w:tab w:val="left" w:pos="1476"/>
              </w:tabs>
              <w:spacing w:before="0" w:line="240" w:lineRule="auto"/>
              <w:ind w:left="0"/>
              <w:contextualSpacing/>
              <w:rPr>
                <w:rFonts w:asciiTheme="minorHAnsi" w:hAnsiTheme="minorHAnsi"/>
              </w:rPr>
            </w:pPr>
            <w:r w:rsidRPr="00E757AF">
              <w:rPr>
                <w:rFonts w:asciiTheme="minorHAnsi" w:hAnsiTheme="minorHAnsi"/>
              </w:rPr>
              <w:t>Psychosocial Rehabilitation (Clubhouses)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68" w:type="dxa"/>
            <w:vAlign w:val="center"/>
          </w:tcPr>
          <w:p w14:paraId="677B9FA6" w14:textId="32C7139B" w:rsidR="00186079" w:rsidRPr="00E757AF" w:rsidRDefault="00786DA4" w:rsidP="002967F3">
            <w:pPr>
              <w:pStyle w:val="TableParagraph"/>
              <w:spacing w:before="0" w:line="240" w:lineRule="auto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1:45,000</w:t>
            </w:r>
            <w:r w:rsidR="00B74BFB" w:rsidRPr="00E757AF">
              <w:rPr>
                <w:rFonts w:asciiTheme="minorHAnsi" w:hAnsiTheme="minorHAnsi"/>
              </w:rPr>
              <w:t xml:space="preserve"> (</w:t>
            </w:r>
            <w:r>
              <w:rPr>
                <w:rFonts w:asciiTheme="minorHAnsi" w:hAnsiTheme="minorHAnsi"/>
              </w:rPr>
              <w:t>Provider to Medicaid Enrollee</w:t>
            </w:r>
            <w:r w:rsidR="00B74BFB" w:rsidRPr="00E757AF">
              <w:rPr>
                <w:rFonts w:asciiTheme="minorHAnsi" w:hAnsiTheme="minorHAnsi"/>
              </w:rPr>
              <w:t>)</w:t>
            </w:r>
          </w:p>
        </w:tc>
      </w:tr>
      <w:tr w:rsidR="00B74BFB" w:rsidRPr="00576A4E" w14:paraId="60D22339" w14:textId="77777777" w:rsidTr="00296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7" w:type="dxa"/>
            <w:vAlign w:val="center"/>
          </w:tcPr>
          <w:p w14:paraId="638D1DF7" w14:textId="1A47ECB0" w:rsidR="00B74BFB" w:rsidRPr="00E757AF" w:rsidRDefault="00B74BFB" w:rsidP="002967F3">
            <w:pPr>
              <w:pStyle w:val="TableParagraph"/>
              <w:tabs>
                <w:tab w:val="left" w:pos="1476"/>
              </w:tabs>
              <w:spacing w:before="0" w:line="240" w:lineRule="auto"/>
              <w:ind w:left="0"/>
              <w:contextualSpacing/>
              <w:rPr>
                <w:rFonts w:asciiTheme="minorHAnsi" w:hAnsiTheme="minorHAnsi"/>
              </w:rPr>
            </w:pPr>
            <w:r w:rsidRPr="00E757AF">
              <w:rPr>
                <w:rFonts w:asciiTheme="minorHAnsi" w:hAnsiTheme="minorHAnsi"/>
              </w:rPr>
              <w:t>Opioid Treatment Programs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68" w:type="dxa"/>
            <w:vAlign w:val="center"/>
          </w:tcPr>
          <w:p w14:paraId="37C377A7" w14:textId="1907F6D1" w:rsidR="00B74BFB" w:rsidRPr="00E757AF" w:rsidRDefault="00786DA4" w:rsidP="002967F3">
            <w:pPr>
              <w:pStyle w:val="TableParagraph"/>
              <w:spacing w:before="0" w:line="240" w:lineRule="auto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1:35,000</w:t>
            </w:r>
            <w:r w:rsidR="00B74BFB" w:rsidRPr="00E757AF">
              <w:rPr>
                <w:rFonts w:asciiTheme="minorHAnsi" w:hAnsiTheme="minorHAnsi"/>
              </w:rPr>
              <w:t xml:space="preserve"> (</w:t>
            </w:r>
            <w:r>
              <w:rPr>
                <w:rFonts w:asciiTheme="minorHAnsi" w:hAnsiTheme="minorHAnsi"/>
              </w:rPr>
              <w:t>Provider to Medicaid Enrollee</w:t>
            </w:r>
            <w:r w:rsidR="00B74BFB" w:rsidRPr="00E757AF">
              <w:rPr>
                <w:rFonts w:asciiTheme="minorHAnsi" w:hAnsiTheme="minorHAnsi"/>
              </w:rPr>
              <w:t>)</w:t>
            </w:r>
          </w:p>
        </w:tc>
      </w:tr>
      <w:tr w:rsidR="00B74BFB" w:rsidRPr="00576A4E" w14:paraId="6BDFBF08" w14:textId="77777777" w:rsidTr="002967F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7" w:type="dxa"/>
            <w:vAlign w:val="center"/>
          </w:tcPr>
          <w:p w14:paraId="235CD0CE" w14:textId="321899DC" w:rsidR="00B74BFB" w:rsidRPr="00E757AF" w:rsidRDefault="00B74BFB" w:rsidP="002967F3">
            <w:pPr>
              <w:pStyle w:val="TableParagraph"/>
              <w:tabs>
                <w:tab w:val="left" w:pos="1476"/>
              </w:tabs>
              <w:spacing w:before="0" w:line="240" w:lineRule="auto"/>
              <w:ind w:left="0"/>
              <w:contextualSpacing/>
              <w:rPr>
                <w:rFonts w:asciiTheme="minorHAnsi" w:hAnsiTheme="minorHAnsi"/>
              </w:rPr>
            </w:pPr>
            <w:r w:rsidRPr="00E757AF">
              <w:rPr>
                <w:rFonts w:asciiTheme="minorHAnsi" w:hAnsiTheme="minorHAnsi"/>
              </w:rPr>
              <w:t>Crisis Residential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68" w:type="dxa"/>
            <w:vAlign w:val="center"/>
          </w:tcPr>
          <w:p w14:paraId="3AC327EF" w14:textId="21E056CA" w:rsidR="00B74BFB" w:rsidRPr="00E757AF" w:rsidRDefault="000A3C8E" w:rsidP="002967F3">
            <w:pPr>
              <w:pStyle w:val="TableParagraph"/>
              <w:spacing w:before="0" w:line="240" w:lineRule="auto"/>
              <w:contextualSpacing/>
              <w:rPr>
                <w:rFonts w:asciiTheme="minorHAnsi" w:hAnsiTheme="minorHAnsi"/>
              </w:rPr>
            </w:pPr>
            <w:r w:rsidRPr="000A3C8E">
              <w:rPr>
                <w:rFonts w:asciiTheme="minorHAnsi" w:hAnsiTheme="minorHAnsi"/>
              </w:rPr>
              <w:t>16 beds per 500,000 Total Population</w:t>
            </w:r>
          </w:p>
        </w:tc>
      </w:tr>
      <w:tr w:rsidR="00C83B88" w:rsidRPr="00576A4E" w14:paraId="219FFE68" w14:textId="77777777" w:rsidTr="00296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7" w:type="dxa"/>
            <w:vAlign w:val="center"/>
          </w:tcPr>
          <w:p w14:paraId="4A304CD0" w14:textId="5C559F4C" w:rsidR="00C83B88" w:rsidRPr="00E757AF" w:rsidRDefault="00C83B88" w:rsidP="002967F3">
            <w:pPr>
              <w:pStyle w:val="TableParagraph"/>
              <w:tabs>
                <w:tab w:val="left" w:pos="1476"/>
              </w:tabs>
              <w:spacing w:before="0" w:line="240" w:lineRule="auto"/>
              <w:ind w:left="0"/>
              <w:contextualSpacing/>
              <w:rPr>
                <w:rFonts w:asciiTheme="minorHAnsi" w:hAnsiTheme="minorHAnsi"/>
              </w:rPr>
            </w:pPr>
            <w:bookmarkStart w:id="6" w:name="_Hlk200972835"/>
            <w:r>
              <w:rPr>
                <w:rFonts w:asciiTheme="minorHAnsi" w:hAnsiTheme="minorHAnsi"/>
              </w:rPr>
              <w:t>Community Living Supports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68" w:type="dxa"/>
            <w:vAlign w:val="center"/>
          </w:tcPr>
          <w:p w14:paraId="39FFB3C2" w14:textId="6D9B4F36" w:rsidR="00C83B88" w:rsidRPr="00E757AF" w:rsidRDefault="00C83B88" w:rsidP="002967F3">
            <w:pPr>
              <w:pStyle w:val="TableParagraph"/>
              <w:spacing w:before="0" w:line="240" w:lineRule="auto"/>
              <w:ind w:left="115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FY2</w:t>
            </w:r>
            <w:r w:rsidR="006528E2">
              <w:rPr>
                <w:rFonts w:asciiTheme="minorHAnsi" w:hAnsiTheme="minorHAnsi"/>
              </w:rPr>
              <w:t>5</w:t>
            </w:r>
            <w:r>
              <w:rPr>
                <w:rFonts w:asciiTheme="minorHAnsi" w:hAnsiTheme="minorHAnsi"/>
              </w:rPr>
              <w:t xml:space="preserve"> Data Collected as Informational Only</w:t>
            </w:r>
          </w:p>
        </w:tc>
      </w:tr>
      <w:tr w:rsidR="00C83B88" w:rsidRPr="00576A4E" w14:paraId="7F1380FC" w14:textId="77777777" w:rsidTr="002967F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7" w:type="dxa"/>
            <w:vAlign w:val="center"/>
          </w:tcPr>
          <w:p w14:paraId="00941990" w14:textId="7FB88D23" w:rsidR="00C83B88" w:rsidRPr="00E757AF" w:rsidRDefault="00C83B88" w:rsidP="002967F3">
            <w:pPr>
              <w:pStyle w:val="TableParagraph"/>
              <w:tabs>
                <w:tab w:val="left" w:pos="1476"/>
              </w:tabs>
              <w:spacing w:before="0" w:line="240" w:lineRule="auto"/>
              <w:ind w:left="0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Skill Building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68" w:type="dxa"/>
            <w:vAlign w:val="center"/>
          </w:tcPr>
          <w:p w14:paraId="4CA55DFD" w14:textId="7A123AFE" w:rsidR="00C83B88" w:rsidRPr="00E757AF" w:rsidRDefault="00C83B88" w:rsidP="002967F3">
            <w:pPr>
              <w:pStyle w:val="TableParagraph"/>
              <w:spacing w:before="0" w:line="240" w:lineRule="auto"/>
              <w:contextualSpacing/>
              <w:rPr>
                <w:rFonts w:asciiTheme="minorHAnsi" w:hAnsiTheme="minorHAnsi"/>
              </w:rPr>
            </w:pPr>
            <w:r w:rsidRPr="00C83B88">
              <w:rPr>
                <w:rFonts w:asciiTheme="minorHAnsi" w:hAnsiTheme="minorHAnsi"/>
              </w:rPr>
              <w:t>FY2</w:t>
            </w:r>
            <w:r w:rsidR="006528E2">
              <w:rPr>
                <w:rFonts w:asciiTheme="minorHAnsi" w:hAnsiTheme="minorHAnsi"/>
              </w:rPr>
              <w:t>5</w:t>
            </w:r>
            <w:r w:rsidRPr="00C83B88">
              <w:rPr>
                <w:rFonts w:asciiTheme="minorHAnsi" w:hAnsiTheme="minorHAnsi"/>
              </w:rPr>
              <w:t xml:space="preserve"> Data Collected as Informational Only</w:t>
            </w:r>
          </w:p>
        </w:tc>
      </w:tr>
      <w:tr w:rsidR="007214BD" w:rsidRPr="00576A4E" w14:paraId="43132960" w14:textId="77777777" w:rsidTr="00296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7" w:type="dxa"/>
            <w:vAlign w:val="center"/>
          </w:tcPr>
          <w:p w14:paraId="7C88F736" w14:textId="3C20A61B" w:rsidR="007214BD" w:rsidRDefault="007214BD" w:rsidP="002967F3">
            <w:pPr>
              <w:pStyle w:val="TableParagraph"/>
              <w:tabs>
                <w:tab w:val="left" w:pos="1476"/>
              </w:tabs>
              <w:spacing w:before="0" w:line="240" w:lineRule="auto"/>
              <w:ind w:left="0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Targeted Case Management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68" w:type="dxa"/>
            <w:vAlign w:val="center"/>
          </w:tcPr>
          <w:p w14:paraId="2D80D90A" w14:textId="70D11FAF" w:rsidR="007214BD" w:rsidRPr="00C83B88" w:rsidRDefault="007214BD" w:rsidP="002967F3">
            <w:pPr>
              <w:pStyle w:val="TableParagraph"/>
              <w:spacing w:before="0" w:line="240" w:lineRule="auto"/>
              <w:contextualSpacing/>
              <w:rPr>
                <w:rFonts w:asciiTheme="minorHAnsi" w:hAnsiTheme="minorHAnsi"/>
              </w:rPr>
            </w:pPr>
            <w:r w:rsidRPr="007214BD">
              <w:rPr>
                <w:rFonts w:asciiTheme="minorHAnsi" w:hAnsiTheme="minorHAnsi"/>
              </w:rPr>
              <w:t>FY2</w:t>
            </w:r>
            <w:r w:rsidR="006528E2">
              <w:rPr>
                <w:rFonts w:asciiTheme="minorHAnsi" w:hAnsiTheme="minorHAnsi"/>
              </w:rPr>
              <w:t>5</w:t>
            </w:r>
            <w:r w:rsidR="008A05CE">
              <w:rPr>
                <w:rFonts w:asciiTheme="minorHAnsi" w:hAnsiTheme="minorHAnsi"/>
              </w:rPr>
              <w:t xml:space="preserve"> </w:t>
            </w:r>
            <w:r w:rsidRPr="007214BD">
              <w:rPr>
                <w:rFonts w:asciiTheme="minorHAnsi" w:hAnsiTheme="minorHAnsi"/>
              </w:rPr>
              <w:t>Data Collected as Informational Only</w:t>
            </w:r>
          </w:p>
        </w:tc>
      </w:tr>
      <w:tr w:rsidR="009859DF" w:rsidRPr="00576A4E" w14:paraId="230C0214" w14:textId="77777777" w:rsidTr="002967F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7" w:type="dxa"/>
            <w:tcBorders>
              <w:bottom w:val="single" w:sz="4" w:space="0" w:color="auto"/>
            </w:tcBorders>
            <w:vAlign w:val="center"/>
          </w:tcPr>
          <w:p w14:paraId="27606CCE" w14:textId="41374E28" w:rsidR="009859DF" w:rsidRDefault="009859DF" w:rsidP="002967F3">
            <w:pPr>
              <w:pStyle w:val="TableParagraph"/>
              <w:tabs>
                <w:tab w:val="left" w:pos="1476"/>
              </w:tabs>
              <w:spacing w:before="0" w:line="240" w:lineRule="auto"/>
              <w:ind w:left="0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Pre-Admission Screen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68" w:type="dxa"/>
            <w:tcBorders>
              <w:bottom w:val="single" w:sz="4" w:space="0" w:color="auto"/>
            </w:tcBorders>
            <w:vAlign w:val="center"/>
          </w:tcPr>
          <w:p w14:paraId="393AE265" w14:textId="0652EE83" w:rsidR="009859DF" w:rsidRPr="00942BCF" w:rsidRDefault="009859DF" w:rsidP="002967F3">
            <w:pPr>
              <w:pStyle w:val="TableParagraph"/>
              <w:spacing w:before="0" w:line="240" w:lineRule="auto"/>
              <w:contextualSpacing/>
              <w:rPr>
                <w:rFonts w:asciiTheme="minorHAnsi" w:hAnsiTheme="minorHAnsi"/>
                <w:b w:val="0"/>
                <w:bCs w:val="0"/>
              </w:rPr>
            </w:pPr>
            <w:r w:rsidRPr="007214BD">
              <w:rPr>
                <w:rFonts w:asciiTheme="minorHAnsi" w:hAnsiTheme="minorHAnsi"/>
                <w:color w:val="000000" w:themeColor="text1"/>
              </w:rPr>
              <w:t>FY2</w:t>
            </w:r>
            <w:r>
              <w:rPr>
                <w:rFonts w:asciiTheme="minorHAnsi" w:hAnsiTheme="minorHAnsi"/>
                <w:color w:val="000000" w:themeColor="text1"/>
              </w:rPr>
              <w:t>5</w:t>
            </w:r>
            <w:r w:rsidRPr="007214BD">
              <w:rPr>
                <w:rFonts w:asciiTheme="minorHAnsi" w:hAnsiTheme="minorHAnsi"/>
                <w:color w:val="000000" w:themeColor="text1"/>
              </w:rPr>
              <w:t xml:space="preserve"> Data Collected as Informational Only</w:t>
            </w:r>
          </w:p>
        </w:tc>
      </w:tr>
      <w:tr w:rsidR="002967F3" w:rsidRPr="00576A4E" w14:paraId="39F745D3" w14:textId="77777777" w:rsidTr="000F729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07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4767" w:type="dxa"/>
            <w:tcBorders>
              <w:top w:val="single" w:sz="4" w:space="0" w:color="auto"/>
              <w:bottom w:val="single" w:sz="4" w:space="0" w:color="156082" w:themeColor="accent1"/>
            </w:tcBorders>
            <w:vAlign w:val="center"/>
          </w:tcPr>
          <w:p w14:paraId="40FB3310" w14:textId="2B1E8FE2" w:rsidR="002967F3" w:rsidRDefault="002967F3" w:rsidP="002967F3">
            <w:pPr>
              <w:pStyle w:val="TableParagraph"/>
              <w:tabs>
                <w:tab w:val="left" w:pos="1476"/>
              </w:tabs>
              <w:spacing w:before="0" w:line="240" w:lineRule="auto"/>
              <w:ind w:left="0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Outpatient Clinical Mental Health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4768" w:type="dxa"/>
            <w:tcBorders>
              <w:top w:val="single" w:sz="4" w:space="0" w:color="auto"/>
              <w:bottom w:val="single" w:sz="4" w:space="0" w:color="156082" w:themeColor="accent1"/>
            </w:tcBorders>
            <w:vAlign w:val="center"/>
          </w:tcPr>
          <w:p w14:paraId="7FE2C6F3" w14:textId="4E82AC24" w:rsidR="002967F3" w:rsidRPr="007214BD" w:rsidRDefault="002967F3" w:rsidP="002967F3">
            <w:pPr>
              <w:pStyle w:val="TableParagraph"/>
              <w:spacing w:before="0" w:line="240" w:lineRule="auto"/>
              <w:contextualSpacing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FY25 Data Collected as Informational Only</w:t>
            </w:r>
          </w:p>
        </w:tc>
      </w:tr>
    </w:tbl>
    <w:bookmarkEnd w:id="5"/>
    <w:bookmarkEnd w:id="6"/>
    <w:p w14:paraId="733254EB" w14:textId="3D648858" w:rsidR="00FB4C46" w:rsidRDefault="006528E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*Exclude</w:t>
      </w:r>
      <w:r w:rsidR="00434871">
        <w:rPr>
          <w:b/>
          <w:bCs/>
          <w:sz w:val="22"/>
          <w:szCs w:val="22"/>
        </w:rPr>
        <w:t>s</w:t>
      </w:r>
      <w:r>
        <w:rPr>
          <w:b/>
          <w:bCs/>
          <w:sz w:val="22"/>
          <w:szCs w:val="22"/>
        </w:rPr>
        <w:t xml:space="preserve"> Substance Use </w:t>
      </w:r>
      <w:r w:rsidR="00F65F74">
        <w:rPr>
          <w:b/>
          <w:bCs/>
          <w:sz w:val="22"/>
          <w:szCs w:val="22"/>
        </w:rPr>
        <w:t>Treatment</w:t>
      </w:r>
      <w:r>
        <w:rPr>
          <w:b/>
          <w:bCs/>
          <w:sz w:val="22"/>
          <w:szCs w:val="22"/>
        </w:rPr>
        <w:t xml:space="preserve"> beds</w:t>
      </w:r>
      <w:r w:rsidR="00F65F74">
        <w:rPr>
          <w:b/>
          <w:bCs/>
          <w:sz w:val="22"/>
          <w:szCs w:val="22"/>
        </w:rPr>
        <w:t>.</w:t>
      </w:r>
    </w:p>
    <w:p w14:paraId="1FE97728" w14:textId="06133ED8" w:rsidR="00186079" w:rsidRPr="00E757AF" w:rsidRDefault="007848AD">
      <w:pPr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>Children and Youth</w:t>
      </w:r>
      <w:r w:rsidR="00822BF3" w:rsidRPr="00E757AF">
        <w:rPr>
          <w:i/>
          <w:iCs/>
          <w:sz w:val="22"/>
          <w:szCs w:val="22"/>
          <w:u w:val="single"/>
        </w:rPr>
        <w:t xml:space="preserve"> Standards</w:t>
      </w:r>
    </w:p>
    <w:tbl>
      <w:tblPr>
        <w:tblStyle w:val="ListTable4-Accent1"/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35"/>
        <w:gridCol w:w="4500"/>
      </w:tblGrid>
      <w:tr w:rsidR="00822BF3" w:rsidRPr="00F25212" w14:paraId="24122A13" w14:textId="77777777" w:rsidTr="00A17A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B9D7EB0" w14:textId="77777777" w:rsidR="00822BF3" w:rsidRPr="00F25212" w:rsidRDefault="00822BF3" w:rsidP="00495375">
            <w:pPr>
              <w:pStyle w:val="TableParagraph"/>
              <w:ind w:left="0" w:right="42"/>
              <w:jc w:val="center"/>
              <w:rPr>
                <w:rFonts w:asciiTheme="minorHAnsi" w:hAnsiTheme="minorHAnsi"/>
                <w:b w:val="0"/>
              </w:rPr>
            </w:pPr>
            <w:bookmarkStart w:id="7" w:name="_Hlk196460945"/>
            <w:r w:rsidRPr="00F25212">
              <w:rPr>
                <w:rFonts w:asciiTheme="minorHAnsi" w:hAnsiTheme="minorHAnsi"/>
                <w:color w:val="FFFFFF"/>
                <w:spacing w:val="-2"/>
              </w:rPr>
              <w:t>Service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0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412108F" w14:textId="77777777" w:rsidR="00822BF3" w:rsidRPr="00F25212" w:rsidRDefault="00822BF3" w:rsidP="00495375">
            <w:pPr>
              <w:pStyle w:val="TableParagraph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F25212">
              <w:rPr>
                <w:rFonts w:asciiTheme="minorHAnsi" w:hAnsiTheme="minorHAnsi"/>
              </w:rPr>
              <w:t>Standard</w:t>
            </w:r>
          </w:p>
        </w:tc>
      </w:tr>
      <w:tr w:rsidR="00822BF3" w:rsidRPr="00F25212" w14:paraId="6557F405" w14:textId="77777777" w:rsidTr="00A17A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shd w:val="clear" w:color="auto" w:fill="auto"/>
          </w:tcPr>
          <w:p w14:paraId="67E4D27F" w14:textId="0116276A" w:rsidR="00822BF3" w:rsidRPr="00F25212" w:rsidRDefault="00822BF3" w:rsidP="00495375">
            <w:pPr>
              <w:pStyle w:val="TableParagraph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Home-Based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00" w:type="dxa"/>
            <w:shd w:val="clear" w:color="auto" w:fill="auto"/>
          </w:tcPr>
          <w:p w14:paraId="506C49CC" w14:textId="3268453D" w:rsidR="00822BF3" w:rsidRPr="00F25212" w:rsidRDefault="00B16BD0" w:rsidP="00E757AF">
            <w:pPr>
              <w:pStyle w:val="TableParagraph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1:2,000 (Provider to Medicaid Enrollee)</w:t>
            </w:r>
          </w:p>
        </w:tc>
      </w:tr>
      <w:tr w:rsidR="00822BF3" w:rsidRPr="00F25212" w14:paraId="71888D9E" w14:textId="77777777" w:rsidTr="00A17AD3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</w:tcPr>
          <w:p w14:paraId="7A3946A5" w14:textId="6535039C" w:rsidR="00822BF3" w:rsidRPr="00F25212" w:rsidRDefault="00434871" w:rsidP="00495375">
            <w:pPr>
              <w:pStyle w:val="TableParagraph"/>
              <w:tabs>
                <w:tab w:val="left" w:pos="1476"/>
              </w:tabs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Intensive Care Coordination with Wraparound (ICCW)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00" w:type="dxa"/>
          </w:tcPr>
          <w:p w14:paraId="02581830" w14:textId="6B8F761C" w:rsidR="00822BF3" w:rsidRPr="00F25212" w:rsidRDefault="00B16BD0" w:rsidP="00E757AF">
            <w:pPr>
              <w:pStyle w:val="TableParagraph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1:</w:t>
            </w:r>
            <w:r w:rsidR="001F2756">
              <w:rPr>
                <w:rFonts w:asciiTheme="minorHAnsi" w:hAnsiTheme="minorHAnsi"/>
              </w:rPr>
              <w:t>5</w:t>
            </w:r>
            <w:r>
              <w:rPr>
                <w:rFonts w:asciiTheme="minorHAnsi" w:hAnsiTheme="minorHAnsi"/>
              </w:rPr>
              <w:t xml:space="preserve">,000 (Provider to Medicaid Enrollee) </w:t>
            </w:r>
          </w:p>
        </w:tc>
      </w:tr>
      <w:tr w:rsidR="00822BF3" w:rsidRPr="00F25212" w14:paraId="23A5388E" w14:textId="77777777" w:rsidTr="00A17A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shd w:val="clear" w:color="auto" w:fill="auto"/>
          </w:tcPr>
          <w:p w14:paraId="756EDA1A" w14:textId="3371BCE8" w:rsidR="00822BF3" w:rsidRPr="00F25212" w:rsidRDefault="00822BF3" w:rsidP="00495375">
            <w:pPr>
              <w:pStyle w:val="TableParagraph"/>
              <w:tabs>
                <w:tab w:val="left" w:pos="1476"/>
              </w:tabs>
              <w:ind w:left="0"/>
              <w:rPr>
                <w:rFonts w:asciiTheme="minorHAnsi" w:hAnsiTheme="minorHAnsi"/>
              </w:rPr>
            </w:pPr>
            <w:r w:rsidRPr="00F25212">
              <w:rPr>
                <w:rFonts w:asciiTheme="minorHAnsi" w:hAnsiTheme="minorHAnsi"/>
              </w:rPr>
              <w:t>Crisis Residential</w:t>
            </w:r>
            <w:r w:rsidR="00663FD8">
              <w:rPr>
                <w:rFonts w:asciiTheme="minorHAnsi" w:hAnsiTheme="minorHAnsi"/>
              </w:rPr>
              <w:t xml:space="preserve"> Program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00" w:type="dxa"/>
            <w:shd w:val="clear" w:color="auto" w:fill="auto"/>
          </w:tcPr>
          <w:p w14:paraId="38B21A3C" w14:textId="68C1E251" w:rsidR="00822BF3" w:rsidRPr="00942BCF" w:rsidRDefault="00936B28" w:rsidP="00E757AF">
            <w:pPr>
              <w:pStyle w:val="TableParagraph"/>
              <w:ind w:left="0"/>
              <w:rPr>
                <w:rFonts w:asciiTheme="minorHAnsi" w:hAnsiTheme="minorHAnsi"/>
                <w:color w:val="000000" w:themeColor="text1"/>
              </w:rPr>
            </w:pPr>
            <w:r w:rsidRPr="00936B28">
              <w:rPr>
                <w:rFonts w:asciiTheme="minorHAnsi" w:hAnsiTheme="minorHAnsi"/>
                <w:color w:val="000000" w:themeColor="text1"/>
              </w:rPr>
              <w:t>8-12 beds per 500,000 Total Population</w:t>
            </w:r>
          </w:p>
        </w:tc>
      </w:tr>
      <w:tr w:rsidR="00936B28" w:rsidRPr="00F25212" w14:paraId="6B699FB1" w14:textId="77777777" w:rsidTr="00A17AD3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</w:tcPr>
          <w:p w14:paraId="354E5C64" w14:textId="48A6930A" w:rsidR="00936B28" w:rsidRPr="00E757AF" w:rsidRDefault="00936B28" w:rsidP="00936B28">
            <w:pPr>
              <w:pStyle w:val="TableParagraph"/>
              <w:ind w:left="0"/>
              <w:rPr>
                <w:rFonts w:asciiTheme="minorHAnsi" w:hAnsiTheme="minorHAnsi"/>
                <w:color w:val="000000" w:themeColor="text1"/>
              </w:rPr>
            </w:pPr>
            <w:r w:rsidRPr="00E757AF">
              <w:rPr>
                <w:rFonts w:asciiTheme="minorHAnsi" w:hAnsiTheme="minorHAnsi"/>
                <w:color w:val="000000" w:themeColor="text1"/>
              </w:rPr>
              <w:t xml:space="preserve">Intensive Crisis Stabilization Services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00" w:type="dxa"/>
          </w:tcPr>
          <w:p w14:paraId="1A3B2E3D" w14:textId="1EE31846" w:rsidR="00936B28" w:rsidRPr="00E757AF" w:rsidRDefault="00936B28" w:rsidP="00936B28">
            <w:pPr>
              <w:pStyle w:val="TableParagraph"/>
              <w:ind w:left="0"/>
              <w:jc w:val="both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FY25 Data Collected as Informational Only</w:t>
            </w:r>
          </w:p>
        </w:tc>
      </w:tr>
      <w:tr w:rsidR="00936B28" w:rsidRPr="00F25212" w14:paraId="6217B885" w14:textId="77777777" w:rsidTr="00A17A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shd w:val="clear" w:color="auto" w:fill="auto"/>
          </w:tcPr>
          <w:p w14:paraId="4E2038B8" w14:textId="6D0E7BA4" w:rsidR="00936B28" w:rsidRPr="00E757AF" w:rsidRDefault="00936B28" w:rsidP="00936B28">
            <w:pPr>
              <w:pStyle w:val="TableParagraph"/>
              <w:tabs>
                <w:tab w:val="left" w:pos="2991"/>
              </w:tabs>
              <w:ind w:left="0"/>
              <w:rPr>
                <w:rFonts w:asciiTheme="minorHAnsi" w:hAnsiTheme="minorHAnsi"/>
                <w:color w:val="000000" w:themeColor="text1"/>
              </w:rPr>
            </w:pPr>
            <w:r w:rsidRPr="00E757AF">
              <w:rPr>
                <w:rFonts w:asciiTheme="minorHAnsi" w:hAnsiTheme="minorHAnsi"/>
                <w:color w:val="000000" w:themeColor="text1"/>
              </w:rPr>
              <w:t xml:space="preserve">Respite Services </w:t>
            </w:r>
            <w:r w:rsidRPr="00E757AF">
              <w:rPr>
                <w:rFonts w:asciiTheme="minorHAnsi" w:hAnsiTheme="minorHAnsi"/>
                <w:color w:val="000000" w:themeColor="text1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00" w:type="dxa"/>
            <w:shd w:val="clear" w:color="auto" w:fill="auto"/>
          </w:tcPr>
          <w:p w14:paraId="452CC894" w14:textId="0926F75F" w:rsidR="00936B28" w:rsidRPr="00E757AF" w:rsidRDefault="00936B28" w:rsidP="00936B28">
            <w:pPr>
              <w:pStyle w:val="TableParagraph"/>
              <w:ind w:left="0"/>
              <w:jc w:val="both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FY25 Data Collected as Informational Only</w:t>
            </w:r>
          </w:p>
        </w:tc>
      </w:tr>
      <w:tr w:rsidR="00936B28" w:rsidRPr="00F25212" w14:paraId="4B0F09C2" w14:textId="77777777" w:rsidTr="00A17AD3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</w:tcPr>
          <w:p w14:paraId="430EAF97" w14:textId="0B9BE4F5" w:rsidR="00936B28" w:rsidRPr="00E757AF" w:rsidRDefault="00936B28" w:rsidP="00936B28">
            <w:pPr>
              <w:pStyle w:val="TableParagraph"/>
              <w:ind w:left="0"/>
              <w:rPr>
                <w:rFonts w:asciiTheme="minorHAnsi" w:hAnsiTheme="minorHAnsi"/>
                <w:color w:val="000000" w:themeColor="text1"/>
              </w:rPr>
            </w:pPr>
            <w:r w:rsidRPr="00E757AF">
              <w:rPr>
                <w:rFonts w:asciiTheme="minorHAnsi" w:hAnsiTheme="minorHAnsi"/>
                <w:color w:val="000000" w:themeColor="text1"/>
              </w:rPr>
              <w:t xml:space="preserve">Parent Support Partners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00" w:type="dxa"/>
          </w:tcPr>
          <w:p w14:paraId="25731590" w14:textId="36ECA4FE" w:rsidR="00936B28" w:rsidRPr="00E757AF" w:rsidRDefault="00936B28" w:rsidP="00936B28">
            <w:pPr>
              <w:pStyle w:val="TableParagraph"/>
              <w:ind w:left="0"/>
              <w:jc w:val="both"/>
              <w:rPr>
                <w:rFonts w:asciiTheme="minorHAnsi" w:hAnsiTheme="minorHAnsi"/>
                <w:color w:val="000000" w:themeColor="text1"/>
              </w:rPr>
            </w:pPr>
            <w:r w:rsidRPr="007214BD">
              <w:rPr>
                <w:rFonts w:asciiTheme="minorHAnsi" w:hAnsiTheme="minorHAnsi"/>
                <w:color w:val="000000" w:themeColor="text1"/>
              </w:rPr>
              <w:t>FY2</w:t>
            </w:r>
            <w:r>
              <w:rPr>
                <w:rFonts w:asciiTheme="minorHAnsi" w:hAnsiTheme="minorHAnsi"/>
                <w:color w:val="000000" w:themeColor="text1"/>
              </w:rPr>
              <w:t xml:space="preserve">5 </w:t>
            </w:r>
            <w:r w:rsidRPr="007214BD">
              <w:rPr>
                <w:rFonts w:asciiTheme="minorHAnsi" w:hAnsiTheme="minorHAnsi"/>
                <w:color w:val="000000" w:themeColor="text1"/>
              </w:rPr>
              <w:t>Data Collected as Informational Only</w:t>
            </w:r>
          </w:p>
        </w:tc>
      </w:tr>
      <w:tr w:rsidR="00936B28" w:rsidRPr="00F25212" w14:paraId="438942FF" w14:textId="77777777" w:rsidTr="00A17A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shd w:val="clear" w:color="auto" w:fill="auto"/>
          </w:tcPr>
          <w:p w14:paraId="0665AC5B" w14:textId="33418693" w:rsidR="00936B28" w:rsidRPr="00E757AF" w:rsidRDefault="00936B28" w:rsidP="00936B28">
            <w:pPr>
              <w:pStyle w:val="TableParagraph"/>
              <w:ind w:left="0"/>
              <w:rPr>
                <w:rFonts w:asciiTheme="minorHAnsi" w:hAnsiTheme="minorHAnsi"/>
                <w:color w:val="000000" w:themeColor="text1"/>
              </w:rPr>
            </w:pPr>
            <w:r w:rsidRPr="00E757AF">
              <w:rPr>
                <w:rFonts w:asciiTheme="minorHAnsi" w:hAnsiTheme="minorHAnsi"/>
                <w:color w:val="000000" w:themeColor="text1"/>
              </w:rPr>
              <w:t xml:space="preserve">Youth Peer Supports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00" w:type="dxa"/>
            <w:shd w:val="clear" w:color="auto" w:fill="auto"/>
          </w:tcPr>
          <w:p w14:paraId="0591C041" w14:textId="2F8287EE" w:rsidR="00936B28" w:rsidRPr="00E757AF" w:rsidRDefault="00936B28" w:rsidP="00936B28">
            <w:pPr>
              <w:pStyle w:val="TableParagraph"/>
              <w:ind w:left="0"/>
              <w:jc w:val="both"/>
              <w:rPr>
                <w:rFonts w:asciiTheme="minorHAnsi" w:hAnsiTheme="minorHAnsi"/>
                <w:color w:val="000000" w:themeColor="text1"/>
              </w:rPr>
            </w:pPr>
            <w:r w:rsidRPr="009859DF">
              <w:rPr>
                <w:rFonts w:asciiTheme="minorHAnsi" w:hAnsiTheme="minorHAnsi"/>
                <w:color w:val="000000" w:themeColor="text1"/>
              </w:rPr>
              <w:t>FY25</w:t>
            </w:r>
            <w:r>
              <w:rPr>
                <w:rFonts w:asciiTheme="minorHAnsi" w:hAnsiTheme="minorHAnsi"/>
                <w:color w:val="000000" w:themeColor="text1"/>
              </w:rPr>
              <w:t xml:space="preserve"> </w:t>
            </w:r>
            <w:r w:rsidRPr="009859DF">
              <w:rPr>
                <w:rFonts w:asciiTheme="minorHAnsi" w:hAnsiTheme="minorHAnsi"/>
                <w:color w:val="000000" w:themeColor="text1"/>
              </w:rPr>
              <w:t>Data Collected as Informational Only</w:t>
            </w:r>
          </w:p>
        </w:tc>
      </w:tr>
      <w:tr w:rsidR="00C83B88" w:rsidRPr="00F25212" w14:paraId="10E99806" w14:textId="77777777" w:rsidTr="00A17AD3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</w:tcPr>
          <w:p w14:paraId="32415932" w14:textId="4FF482C0" w:rsidR="00C83B88" w:rsidRPr="00E757AF" w:rsidRDefault="00C83B88">
            <w:pPr>
              <w:pStyle w:val="TableParagraph"/>
              <w:ind w:left="0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Autism Services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00" w:type="dxa"/>
          </w:tcPr>
          <w:p w14:paraId="1007A8F6" w14:textId="536159D5" w:rsidR="00C83B88" w:rsidRDefault="00C83B88" w:rsidP="003B3CC9">
            <w:pPr>
              <w:pStyle w:val="TableParagraph"/>
              <w:ind w:left="0"/>
              <w:jc w:val="both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FY2</w:t>
            </w:r>
            <w:r w:rsidR="006528E2">
              <w:rPr>
                <w:rFonts w:asciiTheme="minorHAnsi" w:hAnsiTheme="minorHAnsi"/>
                <w:color w:val="000000" w:themeColor="text1"/>
              </w:rPr>
              <w:t>5</w:t>
            </w:r>
            <w:r>
              <w:rPr>
                <w:rFonts w:asciiTheme="minorHAnsi" w:hAnsiTheme="minorHAnsi"/>
                <w:color w:val="000000" w:themeColor="text1"/>
              </w:rPr>
              <w:t xml:space="preserve"> Data Collected as Informational Only</w:t>
            </w:r>
          </w:p>
        </w:tc>
      </w:tr>
      <w:tr w:rsidR="00C83B88" w:rsidRPr="00F25212" w14:paraId="5C90BD15" w14:textId="77777777" w:rsidTr="00A17A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shd w:val="clear" w:color="auto" w:fill="auto"/>
          </w:tcPr>
          <w:p w14:paraId="1A8C371C" w14:textId="079B08D8" w:rsidR="00C83B88" w:rsidRPr="00E757AF" w:rsidRDefault="00BB276F">
            <w:pPr>
              <w:pStyle w:val="TableParagraph"/>
              <w:ind w:left="0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Community Living Supports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00" w:type="dxa"/>
            <w:shd w:val="clear" w:color="auto" w:fill="auto"/>
          </w:tcPr>
          <w:p w14:paraId="102AFF4C" w14:textId="3DC16CBC" w:rsidR="00C83B88" w:rsidRDefault="00BB276F" w:rsidP="003B3CC9">
            <w:pPr>
              <w:pStyle w:val="TableParagraph"/>
              <w:ind w:left="0"/>
              <w:jc w:val="both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FY2</w:t>
            </w:r>
            <w:r w:rsidR="006528E2">
              <w:rPr>
                <w:rFonts w:asciiTheme="minorHAnsi" w:hAnsiTheme="minorHAnsi"/>
                <w:color w:val="000000" w:themeColor="text1"/>
              </w:rPr>
              <w:t>5</w:t>
            </w:r>
            <w:r w:rsidR="008A05CE">
              <w:rPr>
                <w:rFonts w:asciiTheme="minorHAnsi" w:hAnsiTheme="minorHAnsi"/>
                <w:color w:val="000000" w:themeColor="text1"/>
              </w:rPr>
              <w:t xml:space="preserve"> </w:t>
            </w:r>
            <w:r>
              <w:rPr>
                <w:rFonts w:asciiTheme="minorHAnsi" w:hAnsiTheme="minorHAnsi"/>
                <w:color w:val="000000" w:themeColor="text1"/>
              </w:rPr>
              <w:t>Data Collected as Informational Only</w:t>
            </w:r>
          </w:p>
        </w:tc>
      </w:tr>
      <w:tr w:rsidR="007214BD" w:rsidRPr="00F25212" w14:paraId="404875C5" w14:textId="77777777" w:rsidTr="000F7291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tcBorders>
              <w:bottom w:val="single" w:sz="4" w:space="0" w:color="auto"/>
            </w:tcBorders>
          </w:tcPr>
          <w:p w14:paraId="4368DF77" w14:textId="78C7BAB6" w:rsidR="007214BD" w:rsidRDefault="007214BD">
            <w:pPr>
              <w:pStyle w:val="TableParagraph"/>
              <w:ind w:left="0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Targeted Case Management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00" w:type="dxa"/>
            <w:tcBorders>
              <w:bottom w:val="single" w:sz="4" w:space="0" w:color="auto"/>
            </w:tcBorders>
          </w:tcPr>
          <w:p w14:paraId="2951C03C" w14:textId="221C57E7" w:rsidR="007214BD" w:rsidRDefault="007214BD" w:rsidP="003B3CC9">
            <w:pPr>
              <w:pStyle w:val="TableParagraph"/>
              <w:ind w:left="0"/>
              <w:jc w:val="both"/>
              <w:rPr>
                <w:rFonts w:asciiTheme="minorHAnsi" w:hAnsiTheme="minorHAnsi"/>
                <w:color w:val="000000" w:themeColor="text1"/>
              </w:rPr>
            </w:pPr>
            <w:r w:rsidRPr="007214BD">
              <w:rPr>
                <w:rFonts w:asciiTheme="minorHAnsi" w:hAnsiTheme="minorHAnsi"/>
                <w:color w:val="000000" w:themeColor="text1"/>
              </w:rPr>
              <w:t>FY2</w:t>
            </w:r>
            <w:r w:rsidR="006528E2">
              <w:rPr>
                <w:rFonts w:asciiTheme="minorHAnsi" w:hAnsiTheme="minorHAnsi"/>
                <w:color w:val="000000" w:themeColor="text1"/>
              </w:rPr>
              <w:t>5</w:t>
            </w:r>
            <w:r w:rsidR="008A05CE">
              <w:rPr>
                <w:rFonts w:asciiTheme="minorHAnsi" w:hAnsiTheme="minorHAnsi"/>
                <w:color w:val="000000" w:themeColor="text1"/>
              </w:rPr>
              <w:t xml:space="preserve"> </w:t>
            </w:r>
            <w:r w:rsidRPr="007214BD">
              <w:rPr>
                <w:rFonts w:asciiTheme="minorHAnsi" w:hAnsiTheme="minorHAnsi"/>
                <w:color w:val="000000" w:themeColor="text1"/>
              </w:rPr>
              <w:t>Data Collected as Informational Only</w:t>
            </w:r>
          </w:p>
        </w:tc>
      </w:tr>
      <w:tr w:rsidR="009859DF" w:rsidRPr="00F25212" w14:paraId="3A2C5570" w14:textId="77777777" w:rsidTr="000F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1CA147B" w14:textId="6EE2A9BD" w:rsidR="009859DF" w:rsidRDefault="009859DF">
            <w:pPr>
              <w:pStyle w:val="TableParagraph"/>
              <w:ind w:left="0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Pre-Admission Screen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0806EED" w14:textId="6C5A8680" w:rsidR="009859DF" w:rsidRPr="007214BD" w:rsidRDefault="009859DF" w:rsidP="003B3CC9">
            <w:pPr>
              <w:pStyle w:val="TableParagraph"/>
              <w:ind w:left="0"/>
              <w:jc w:val="both"/>
              <w:rPr>
                <w:rFonts w:asciiTheme="minorHAnsi" w:hAnsiTheme="minorHAnsi"/>
                <w:color w:val="000000" w:themeColor="text1"/>
              </w:rPr>
            </w:pPr>
            <w:r w:rsidRPr="009859DF">
              <w:rPr>
                <w:rFonts w:asciiTheme="minorHAnsi" w:hAnsiTheme="minorHAnsi"/>
                <w:color w:val="000000" w:themeColor="text1"/>
              </w:rPr>
              <w:t>FY25</w:t>
            </w:r>
            <w:r w:rsidR="008A05CE">
              <w:rPr>
                <w:rFonts w:asciiTheme="minorHAnsi" w:hAnsiTheme="minorHAnsi"/>
                <w:color w:val="000000" w:themeColor="text1"/>
              </w:rPr>
              <w:t xml:space="preserve"> </w:t>
            </w:r>
            <w:r w:rsidRPr="009859DF">
              <w:rPr>
                <w:rFonts w:asciiTheme="minorHAnsi" w:hAnsiTheme="minorHAnsi"/>
                <w:color w:val="000000" w:themeColor="text1"/>
              </w:rPr>
              <w:t>Data Collected as Informational Only</w:t>
            </w:r>
          </w:p>
        </w:tc>
      </w:tr>
      <w:tr w:rsidR="000F7291" w:rsidRPr="00F25212" w14:paraId="16207834" w14:textId="77777777" w:rsidTr="000F729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310251" w14:textId="397EAC08" w:rsidR="000F7291" w:rsidRDefault="000F7291" w:rsidP="000F7291">
            <w:pPr>
              <w:pStyle w:val="TableParagraph"/>
              <w:ind w:left="0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</w:rPr>
              <w:t>Outpatient Clinical Mental Health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0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32BA43" w14:textId="4B9A90D6" w:rsidR="000F7291" w:rsidRPr="009859DF" w:rsidRDefault="000F7291" w:rsidP="000F7291">
            <w:pPr>
              <w:pStyle w:val="TableParagraph"/>
              <w:ind w:left="0"/>
              <w:jc w:val="both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FY25 Data Collected as Informational Only</w:t>
            </w:r>
          </w:p>
        </w:tc>
      </w:tr>
    </w:tbl>
    <w:bookmarkEnd w:id="7"/>
    <w:p w14:paraId="2B46B294" w14:textId="118C6628" w:rsidR="00B16BD0" w:rsidRDefault="00EC2277">
      <w:pPr>
        <w:rPr>
          <w:sz w:val="22"/>
          <w:szCs w:val="22"/>
        </w:rPr>
      </w:pPr>
      <w:r>
        <w:rPr>
          <w:sz w:val="22"/>
          <w:szCs w:val="22"/>
        </w:rPr>
        <w:lastRenderedPageBreak/>
        <w:t>P</w:t>
      </w:r>
      <w:r w:rsidR="00B16BD0">
        <w:rPr>
          <w:sz w:val="22"/>
          <w:szCs w:val="22"/>
        </w:rPr>
        <w:t>lease see provider definitions for further information on how “provider” is defined for each service type.</w:t>
      </w:r>
    </w:p>
    <w:p w14:paraId="703C76BF" w14:textId="461BFE47" w:rsidR="005555AB" w:rsidRPr="005555AB" w:rsidRDefault="005555AB" w:rsidP="005555AB">
      <w:pPr>
        <w:rPr>
          <w:sz w:val="22"/>
          <w:szCs w:val="22"/>
        </w:rPr>
      </w:pPr>
      <w:r w:rsidRPr="005555AB">
        <w:rPr>
          <w:sz w:val="22"/>
          <w:szCs w:val="22"/>
        </w:rPr>
        <w:t xml:space="preserve">The term "enrollee" is defined as “any new or existing Medicaid Beneficiary assigned to the PIHP. This includes all beneficiaries the PIHP is contracted to serve." For network adequacy </w:t>
      </w:r>
      <w:r w:rsidR="007848AD">
        <w:rPr>
          <w:sz w:val="22"/>
          <w:szCs w:val="22"/>
        </w:rPr>
        <w:t>child</w:t>
      </w:r>
      <w:r w:rsidR="00B73ACA">
        <w:rPr>
          <w:sz w:val="22"/>
          <w:szCs w:val="22"/>
        </w:rPr>
        <w:t>ren</w:t>
      </w:r>
      <w:r w:rsidR="007848AD">
        <w:rPr>
          <w:sz w:val="22"/>
          <w:szCs w:val="22"/>
        </w:rPr>
        <w:t xml:space="preserve"> and youth </w:t>
      </w:r>
      <w:r w:rsidRPr="005555AB">
        <w:rPr>
          <w:sz w:val="22"/>
          <w:szCs w:val="22"/>
        </w:rPr>
        <w:t>services purposes, "children" are</w:t>
      </w:r>
      <w:r w:rsidR="00706238">
        <w:rPr>
          <w:sz w:val="22"/>
          <w:szCs w:val="22"/>
        </w:rPr>
        <w:t xml:space="preserve"> defined as</w:t>
      </w:r>
      <w:r w:rsidRPr="005555AB">
        <w:rPr>
          <w:sz w:val="22"/>
          <w:szCs w:val="22"/>
        </w:rPr>
        <w:t xml:space="preserve"> those "who are less than 18 on the last day of the reporting period"</w:t>
      </w:r>
      <w:r w:rsidR="00AD194C">
        <w:rPr>
          <w:sz w:val="22"/>
          <w:szCs w:val="22"/>
        </w:rPr>
        <w:t xml:space="preserve"> with the exception of the </w:t>
      </w:r>
      <w:r w:rsidR="00A96D74">
        <w:rPr>
          <w:sz w:val="22"/>
          <w:szCs w:val="22"/>
        </w:rPr>
        <w:t>following services</w:t>
      </w:r>
      <w:r w:rsidR="0075419E">
        <w:rPr>
          <w:sz w:val="22"/>
          <w:szCs w:val="22"/>
        </w:rPr>
        <w:t xml:space="preserve">: </w:t>
      </w:r>
      <w:r w:rsidR="00AD194C">
        <w:rPr>
          <w:sz w:val="22"/>
          <w:szCs w:val="22"/>
        </w:rPr>
        <w:t xml:space="preserve">Respite, </w:t>
      </w:r>
      <w:r w:rsidR="00D153CD">
        <w:rPr>
          <w:sz w:val="22"/>
          <w:szCs w:val="22"/>
        </w:rPr>
        <w:t xml:space="preserve">Home-Based, </w:t>
      </w:r>
      <w:r w:rsidR="00AD194C">
        <w:rPr>
          <w:sz w:val="22"/>
          <w:szCs w:val="22"/>
        </w:rPr>
        <w:t xml:space="preserve">Youth Peer Supports, ICCW, ICSS, </w:t>
      </w:r>
      <w:r w:rsidR="00E32AD1">
        <w:rPr>
          <w:sz w:val="22"/>
          <w:szCs w:val="22"/>
        </w:rPr>
        <w:t xml:space="preserve">Autism Services, Targeted Case Management, </w:t>
      </w:r>
      <w:r w:rsidR="00AD194C">
        <w:rPr>
          <w:sz w:val="22"/>
          <w:szCs w:val="22"/>
        </w:rPr>
        <w:t>and Parent Support Partners</w:t>
      </w:r>
      <w:r w:rsidR="0075419E">
        <w:rPr>
          <w:sz w:val="22"/>
          <w:szCs w:val="22"/>
        </w:rPr>
        <w:t xml:space="preserve">, </w:t>
      </w:r>
      <w:r w:rsidR="00AD194C">
        <w:rPr>
          <w:sz w:val="22"/>
          <w:szCs w:val="22"/>
        </w:rPr>
        <w:t>which will utilize a subpopulation of individuals 21 years old and younger on the last day of the reporting period.</w:t>
      </w:r>
    </w:p>
    <w:p w14:paraId="3724D7D4" w14:textId="292E19DB" w:rsidR="00EC2277" w:rsidRDefault="00EC2277" w:rsidP="00764DBA">
      <w:pPr>
        <w:rPr>
          <w:b/>
          <w:bCs/>
          <w:sz w:val="22"/>
          <w:szCs w:val="22"/>
        </w:rPr>
      </w:pPr>
      <w:r w:rsidRPr="00EC2277">
        <w:rPr>
          <w:b/>
          <w:bCs/>
          <w:sz w:val="22"/>
          <w:szCs w:val="22"/>
        </w:rPr>
        <w:t>Contractors must ensure all covered and medically necessary services are delivered to beneficiaries in a timely and appropriate manner, regardless of whether those services are included in network adequacy standards.</w:t>
      </w:r>
    </w:p>
    <w:p w14:paraId="7BCF8C79" w14:textId="7C541750" w:rsidR="00764DBA" w:rsidRPr="00942BCF" w:rsidRDefault="00764DBA" w:rsidP="00A17AD3">
      <w:pPr>
        <w:spacing w:after="0"/>
        <w:contextualSpacing/>
        <w:rPr>
          <w:b/>
          <w:bCs/>
          <w:sz w:val="22"/>
          <w:szCs w:val="22"/>
          <w:u w:val="single"/>
        </w:rPr>
      </w:pPr>
      <w:r w:rsidRPr="00942BCF">
        <w:rPr>
          <w:b/>
          <w:bCs/>
          <w:sz w:val="22"/>
          <w:szCs w:val="22"/>
          <w:u w:val="single"/>
        </w:rPr>
        <w:t>Compliance – Time/Distance and Provider</w:t>
      </w:r>
      <w:r w:rsidR="00814523" w:rsidRPr="00942BCF">
        <w:rPr>
          <w:b/>
          <w:bCs/>
          <w:sz w:val="22"/>
          <w:szCs w:val="22"/>
          <w:u w:val="single"/>
        </w:rPr>
        <w:t>-</w:t>
      </w:r>
      <w:r w:rsidRPr="00942BCF">
        <w:rPr>
          <w:b/>
          <w:bCs/>
          <w:sz w:val="22"/>
          <w:szCs w:val="22"/>
          <w:u w:val="single"/>
        </w:rPr>
        <w:t>to</w:t>
      </w:r>
      <w:r w:rsidR="00814523" w:rsidRPr="00942BCF">
        <w:rPr>
          <w:b/>
          <w:bCs/>
          <w:sz w:val="22"/>
          <w:szCs w:val="22"/>
          <w:u w:val="single"/>
        </w:rPr>
        <w:t>-</w:t>
      </w:r>
      <w:r w:rsidRPr="00942BCF">
        <w:rPr>
          <w:b/>
          <w:bCs/>
          <w:sz w:val="22"/>
          <w:szCs w:val="22"/>
          <w:u w:val="single"/>
        </w:rPr>
        <w:t>Enrollee Ratios</w:t>
      </w:r>
    </w:p>
    <w:p w14:paraId="7CF64ADA" w14:textId="466FB559" w:rsidR="00764DBA" w:rsidRPr="00942BCF" w:rsidRDefault="00764DBA" w:rsidP="00942BCF">
      <w:pPr>
        <w:pStyle w:val="ListParagraph"/>
        <w:numPr>
          <w:ilvl w:val="0"/>
          <w:numId w:val="10"/>
        </w:numPr>
        <w:spacing w:after="0"/>
        <w:rPr>
          <w:sz w:val="22"/>
          <w:szCs w:val="22"/>
        </w:rPr>
      </w:pPr>
      <w:bookmarkStart w:id="8" w:name="_Hlk196745441"/>
      <w:r w:rsidRPr="00942BCF">
        <w:rPr>
          <w:sz w:val="22"/>
          <w:szCs w:val="22"/>
        </w:rPr>
        <w:t>At least 85 percent of the beneficiaries residing in</w:t>
      </w:r>
      <w:r w:rsidR="00B73ACA">
        <w:rPr>
          <w:sz w:val="22"/>
          <w:szCs w:val="22"/>
        </w:rPr>
        <w:t xml:space="preserve"> coun</w:t>
      </w:r>
      <w:r w:rsidR="00A61A96">
        <w:rPr>
          <w:sz w:val="22"/>
          <w:szCs w:val="22"/>
        </w:rPr>
        <w:t>ti</w:t>
      </w:r>
      <w:r w:rsidR="00B73ACA">
        <w:rPr>
          <w:sz w:val="22"/>
          <w:szCs w:val="22"/>
        </w:rPr>
        <w:t>es classified as</w:t>
      </w:r>
      <w:r w:rsidRPr="00942BCF">
        <w:rPr>
          <w:sz w:val="22"/>
          <w:szCs w:val="22"/>
        </w:rPr>
        <w:t xml:space="preserve"> micro, rural, or counties with extreme access considerations (CEA</w:t>
      </w:r>
      <w:r w:rsidR="00EA5188">
        <w:rPr>
          <w:sz w:val="22"/>
          <w:szCs w:val="22"/>
        </w:rPr>
        <w:t>C</w:t>
      </w:r>
      <w:r w:rsidR="00CE075C" w:rsidRPr="00942BCF">
        <w:rPr>
          <w:sz w:val="22"/>
          <w:szCs w:val="22"/>
        </w:rPr>
        <w:t>)</w:t>
      </w:r>
      <w:r w:rsidRPr="00942BCF">
        <w:rPr>
          <w:sz w:val="22"/>
          <w:szCs w:val="22"/>
        </w:rPr>
        <w:t xml:space="preserve"> have access to at least one provider/facility of each specialty type within the published time and distance standards.</w:t>
      </w:r>
      <w:r w:rsidR="000F1FC1" w:rsidRPr="00B521B7">
        <w:rPr>
          <w:sz w:val="22"/>
          <w:szCs w:val="22"/>
        </w:rPr>
        <w:t xml:space="preserve"> 42 CFR 422.116 (d)(4)(</w:t>
      </w:r>
      <w:proofErr w:type="spellStart"/>
      <w:r w:rsidR="000F1FC1" w:rsidRPr="00B521B7">
        <w:rPr>
          <w:sz w:val="22"/>
          <w:szCs w:val="22"/>
        </w:rPr>
        <w:t>i</w:t>
      </w:r>
      <w:proofErr w:type="spellEnd"/>
      <w:r w:rsidR="000F1FC1" w:rsidRPr="00B521B7">
        <w:rPr>
          <w:sz w:val="22"/>
          <w:szCs w:val="22"/>
        </w:rPr>
        <w:t>)</w:t>
      </w:r>
    </w:p>
    <w:p w14:paraId="68A7645A" w14:textId="73A09694" w:rsidR="00764DBA" w:rsidRPr="00942BCF" w:rsidRDefault="00764DBA" w:rsidP="00942BCF">
      <w:pPr>
        <w:pStyle w:val="ListParagraph"/>
        <w:numPr>
          <w:ilvl w:val="0"/>
          <w:numId w:val="10"/>
        </w:numPr>
        <w:spacing w:after="0"/>
        <w:rPr>
          <w:sz w:val="22"/>
          <w:szCs w:val="22"/>
        </w:rPr>
      </w:pPr>
      <w:r w:rsidRPr="00942BCF">
        <w:rPr>
          <w:sz w:val="22"/>
          <w:szCs w:val="22"/>
        </w:rPr>
        <w:t>At least 90 percent of the beneficiaries residing in large metro and metro counties have access to at least one provider/facility of each specialty type within the published time and distance standards.</w:t>
      </w:r>
      <w:r w:rsidR="000F1FC1" w:rsidRPr="00B521B7">
        <w:rPr>
          <w:sz w:val="22"/>
          <w:szCs w:val="22"/>
        </w:rPr>
        <w:t xml:space="preserve"> 42 CFR 422.116 (d)(4)(ii)</w:t>
      </w:r>
    </w:p>
    <w:p w14:paraId="5D465FBE" w14:textId="1F7D24C7" w:rsidR="00C2234D" w:rsidRDefault="00764DBA" w:rsidP="00B521B7">
      <w:pPr>
        <w:pStyle w:val="ListParagraph"/>
        <w:numPr>
          <w:ilvl w:val="0"/>
          <w:numId w:val="10"/>
        </w:numPr>
        <w:spacing w:after="0"/>
        <w:rPr>
          <w:sz w:val="22"/>
          <w:szCs w:val="22"/>
        </w:rPr>
      </w:pPr>
      <w:r w:rsidRPr="00942BCF">
        <w:rPr>
          <w:sz w:val="22"/>
          <w:szCs w:val="22"/>
        </w:rPr>
        <w:t>Both time and distance must be met.</w:t>
      </w:r>
      <w:r w:rsidR="000F1FC1" w:rsidRPr="00B521B7">
        <w:rPr>
          <w:sz w:val="22"/>
          <w:szCs w:val="22"/>
        </w:rPr>
        <w:t xml:space="preserve"> </w:t>
      </w:r>
    </w:p>
    <w:p w14:paraId="67CD64B6" w14:textId="2D8D6ADB" w:rsidR="001728CF" w:rsidRDefault="001728CF" w:rsidP="001728CF">
      <w:pPr>
        <w:pStyle w:val="ListParagraph"/>
        <w:numPr>
          <w:ilvl w:val="0"/>
          <w:numId w:val="10"/>
        </w:numPr>
        <w:spacing w:after="0"/>
        <w:rPr>
          <w:sz w:val="22"/>
          <w:szCs w:val="22"/>
        </w:rPr>
      </w:pPr>
      <w:r w:rsidRPr="00112CC1">
        <w:rPr>
          <w:sz w:val="22"/>
          <w:szCs w:val="22"/>
        </w:rPr>
        <w:t xml:space="preserve">Regions must meet </w:t>
      </w:r>
      <w:r>
        <w:rPr>
          <w:sz w:val="22"/>
          <w:szCs w:val="22"/>
        </w:rPr>
        <w:t>provider-to-enrollee</w:t>
      </w:r>
      <w:r w:rsidRPr="00112CC1">
        <w:rPr>
          <w:sz w:val="22"/>
          <w:szCs w:val="22"/>
        </w:rPr>
        <w:t xml:space="preserve"> ratios as </w:t>
      </w:r>
      <w:r>
        <w:rPr>
          <w:sz w:val="22"/>
          <w:szCs w:val="22"/>
        </w:rPr>
        <w:t>established</w:t>
      </w:r>
      <w:r w:rsidRPr="00112CC1">
        <w:rPr>
          <w:sz w:val="22"/>
          <w:szCs w:val="22"/>
        </w:rPr>
        <w:t xml:space="preserve"> by the MDHHS.</w:t>
      </w:r>
    </w:p>
    <w:p w14:paraId="0E9BCDEC" w14:textId="53E23084" w:rsidR="00B5139F" w:rsidRPr="000A3C8E" w:rsidRDefault="00C2234D" w:rsidP="000A3C8E">
      <w:pPr>
        <w:pStyle w:val="ListParagraph"/>
        <w:numPr>
          <w:ilvl w:val="0"/>
          <w:numId w:val="10"/>
        </w:numPr>
        <w:spacing w:after="0"/>
        <w:rPr>
          <w:sz w:val="22"/>
          <w:szCs w:val="22"/>
        </w:rPr>
      </w:pPr>
      <w:r w:rsidRPr="00B521B7">
        <w:rPr>
          <w:sz w:val="22"/>
          <w:szCs w:val="22"/>
        </w:rPr>
        <w:t xml:space="preserve">For services with both time and distance and </w:t>
      </w:r>
      <w:r w:rsidR="000F1FC1" w:rsidRPr="00B521B7">
        <w:rPr>
          <w:sz w:val="22"/>
          <w:szCs w:val="22"/>
        </w:rPr>
        <w:t>provider-to-enrollee</w:t>
      </w:r>
      <w:r w:rsidRPr="00B521B7">
        <w:rPr>
          <w:sz w:val="22"/>
          <w:szCs w:val="22"/>
        </w:rPr>
        <w:t xml:space="preserve"> ratios, both</w:t>
      </w:r>
      <w:r w:rsidR="001728CF">
        <w:rPr>
          <w:sz w:val="22"/>
          <w:szCs w:val="22"/>
        </w:rPr>
        <w:t xml:space="preserve"> standards</w:t>
      </w:r>
      <w:r w:rsidRPr="00B521B7">
        <w:rPr>
          <w:sz w:val="22"/>
          <w:szCs w:val="22"/>
        </w:rPr>
        <w:t xml:space="preserve"> must be met. </w:t>
      </w:r>
      <w:bookmarkStart w:id="9" w:name="_Hlk199249243"/>
      <w:bookmarkEnd w:id="8"/>
    </w:p>
    <w:p w14:paraId="50003037" w14:textId="77777777" w:rsidR="007F18CA" w:rsidRDefault="007F18CA">
      <w:pPr>
        <w:spacing w:after="0"/>
        <w:rPr>
          <w:sz w:val="22"/>
          <w:szCs w:val="22"/>
        </w:rPr>
      </w:pPr>
    </w:p>
    <w:p w14:paraId="5F04186E" w14:textId="75FFC63D" w:rsidR="002F53FA" w:rsidRPr="00942BCF" w:rsidRDefault="002F53FA" w:rsidP="00942BCF">
      <w:pPr>
        <w:spacing w:after="0"/>
        <w:rPr>
          <w:b/>
          <w:bCs/>
          <w:sz w:val="22"/>
          <w:szCs w:val="22"/>
          <w:u w:val="single"/>
        </w:rPr>
      </w:pPr>
      <w:r w:rsidRPr="00942BCF">
        <w:rPr>
          <w:b/>
          <w:bCs/>
          <w:sz w:val="22"/>
          <w:szCs w:val="22"/>
          <w:u w:val="single"/>
        </w:rPr>
        <w:t>American Society of Addiction Medicine (ASAM) Level of Care (LOC) for Network Providers</w:t>
      </w:r>
    </w:p>
    <w:p w14:paraId="6106AFA6" w14:textId="679C7670" w:rsidR="005C0C2B" w:rsidRDefault="005C0C2B">
      <w:pPr>
        <w:pStyle w:val="ListParagraph"/>
        <w:numPr>
          <w:ilvl w:val="0"/>
          <w:numId w:val="8"/>
        </w:numPr>
        <w:spacing w:after="0"/>
        <w:rPr>
          <w:sz w:val="22"/>
          <w:szCs w:val="22"/>
        </w:rPr>
      </w:pPr>
      <w:r w:rsidRPr="005C0C2B">
        <w:rPr>
          <w:sz w:val="22"/>
          <w:szCs w:val="22"/>
        </w:rPr>
        <w:t xml:space="preserve">PIHPs must enter into network provider agreements for </w:t>
      </w:r>
      <w:proofErr w:type="gramStart"/>
      <w:r w:rsidRPr="005C0C2B">
        <w:rPr>
          <w:sz w:val="22"/>
          <w:szCs w:val="22"/>
        </w:rPr>
        <w:t>Substance Use Disorder</w:t>
      </w:r>
      <w:proofErr w:type="gramEnd"/>
      <w:r w:rsidRPr="005C0C2B">
        <w:rPr>
          <w:sz w:val="22"/>
          <w:szCs w:val="22"/>
        </w:rPr>
        <w:t xml:space="preserve"> (SUD) Treatment with organizations that provide services based on the American Society of Addiction Medicine (ASAM) Level of Care (LOC)</w:t>
      </w:r>
      <w:r w:rsidR="001728CF">
        <w:rPr>
          <w:sz w:val="22"/>
          <w:szCs w:val="22"/>
        </w:rPr>
        <w:t>.</w:t>
      </w:r>
      <w:r w:rsidRPr="005C0C2B">
        <w:rPr>
          <w:sz w:val="22"/>
          <w:szCs w:val="22"/>
        </w:rPr>
        <w:t xml:space="preserve"> </w:t>
      </w:r>
    </w:p>
    <w:p w14:paraId="5B1A9835" w14:textId="365A5F81" w:rsidR="002F53FA" w:rsidRPr="00942BCF" w:rsidRDefault="002F53FA" w:rsidP="00942BCF">
      <w:pPr>
        <w:pStyle w:val="ListParagraph"/>
        <w:numPr>
          <w:ilvl w:val="0"/>
          <w:numId w:val="8"/>
        </w:numPr>
        <w:spacing w:after="0"/>
        <w:rPr>
          <w:sz w:val="22"/>
          <w:szCs w:val="22"/>
        </w:rPr>
      </w:pPr>
      <w:r w:rsidRPr="00942BCF">
        <w:rPr>
          <w:sz w:val="22"/>
          <w:szCs w:val="22"/>
        </w:rPr>
        <w:t xml:space="preserve">Contractor must ensure that to the extent licensing allows all the following LOCs are available for adult and </w:t>
      </w:r>
      <w:r w:rsidR="00BC335D">
        <w:rPr>
          <w:sz w:val="22"/>
          <w:szCs w:val="22"/>
        </w:rPr>
        <w:t>youth</w:t>
      </w:r>
      <w:r w:rsidRPr="00942BCF">
        <w:rPr>
          <w:sz w:val="22"/>
          <w:szCs w:val="22"/>
        </w:rPr>
        <w:t xml:space="preserve"> populations:</w:t>
      </w:r>
    </w:p>
    <w:p w14:paraId="5FEA5FA2" w14:textId="77777777" w:rsidR="00921E74" w:rsidRPr="002F53FA" w:rsidRDefault="00921E74" w:rsidP="00942BCF">
      <w:pPr>
        <w:spacing w:after="0"/>
        <w:ind w:left="2411"/>
        <w:rPr>
          <w:sz w:val="22"/>
          <w:szCs w:val="22"/>
        </w:rPr>
      </w:pPr>
    </w:p>
    <w:tbl>
      <w:tblPr>
        <w:tblW w:w="93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6"/>
        <w:gridCol w:w="7648"/>
      </w:tblGrid>
      <w:tr w:rsidR="002F53FA" w:rsidRPr="002F53FA" w14:paraId="49EE5C91" w14:textId="77777777" w:rsidTr="00942BCF">
        <w:trPr>
          <w:trHeight w:val="206"/>
          <w:jc w:val="center"/>
        </w:trPr>
        <w:tc>
          <w:tcPr>
            <w:tcW w:w="1706" w:type="dxa"/>
            <w:shd w:val="clear" w:color="auto" w:fill="156082" w:themeFill="accent1"/>
            <w:vAlign w:val="center"/>
          </w:tcPr>
          <w:p w14:paraId="264E0F88" w14:textId="77777777" w:rsidR="002F53FA" w:rsidRPr="00D153CD" w:rsidRDefault="002F53FA" w:rsidP="00D153CD">
            <w:pPr>
              <w:spacing w:after="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D153CD">
              <w:rPr>
                <w:b/>
                <w:bCs/>
                <w:color w:val="FFFFFF" w:themeColor="background1"/>
                <w:sz w:val="22"/>
                <w:szCs w:val="22"/>
              </w:rPr>
              <w:t>Level of Care</w:t>
            </w:r>
          </w:p>
        </w:tc>
        <w:tc>
          <w:tcPr>
            <w:tcW w:w="7648" w:type="dxa"/>
            <w:shd w:val="clear" w:color="auto" w:fill="156082" w:themeFill="accent1"/>
            <w:vAlign w:val="center"/>
          </w:tcPr>
          <w:p w14:paraId="1BB6ABED" w14:textId="77777777" w:rsidR="002F53FA" w:rsidRPr="00D153CD" w:rsidRDefault="002F53FA" w:rsidP="00D153CD">
            <w:pPr>
              <w:spacing w:after="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D153CD">
              <w:rPr>
                <w:b/>
                <w:bCs/>
                <w:color w:val="FFFFFF" w:themeColor="background1"/>
                <w:sz w:val="22"/>
                <w:szCs w:val="22"/>
              </w:rPr>
              <w:t>ASAM Title</w:t>
            </w:r>
          </w:p>
        </w:tc>
      </w:tr>
      <w:tr w:rsidR="006B0D94" w:rsidRPr="002F53FA" w14:paraId="1D85C2E1" w14:textId="77777777" w:rsidTr="00942BCF">
        <w:trPr>
          <w:trHeight w:val="275"/>
          <w:jc w:val="center"/>
        </w:trPr>
        <w:tc>
          <w:tcPr>
            <w:tcW w:w="1706" w:type="dxa"/>
            <w:vAlign w:val="center"/>
          </w:tcPr>
          <w:p w14:paraId="4A266FAC" w14:textId="0E9D3634" w:rsidR="006B0D94" w:rsidRPr="002F53FA" w:rsidRDefault="006B0D94" w:rsidP="00D153C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0.5</w:t>
            </w:r>
          </w:p>
        </w:tc>
        <w:tc>
          <w:tcPr>
            <w:tcW w:w="7648" w:type="dxa"/>
          </w:tcPr>
          <w:p w14:paraId="3F96F6C5" w14:textId="1BF2768E" w:rsidR="006B0D94" w:rsidRPr="002F53FA" w:rsidRDefault="006B0D94" w:rsidP="002F53FA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Early Intervention</w:t>
            </w:r>
          </w:p>
        </w:tc>
      </w:tr>
      <w:tr w:rsidR="002F53FA" w:rsidRPr="002F53FA" w14:paraId="1F4BF8F6" w14:textId="77777777" w:rsidTr="00942BCF">
        <w:trPr>
          <w:trHeight w:val="275"/>
          <w:jc w:val="center"/>
        </w:trPr>
        <w:tc>
          <w:tcPr>
            <w:tcW w:w="1706" w:type="dxa"/>
            <w:vAlign w:val="center"/>
          </w:tcPr>
          <w:p w14:paraId="56E16F3A" w14:textId="77777777" w:rsidR="002F53FA" w:rsidRPr="002F53FA" w:rsidRDefault="002F53FA" w:rsidP="00D153CD">
            <w:pPr>
              <w:spacing w:after="0"/>
              <w:jc w:val="center"/>
              <w:rPr>
                <w:sz w:val="22"/>
                <w:szCs w:val="22"/>
              </w:rPr>
            </w:pPr>
            <w:r w:rsidRPr="002F53FA">
              <w:rPr>
                <w:sz w:val="22"/>
                <w:szCs w:val="22"/>
              </w:rPr>
              <w:t>1</w:t>
            </w:r>
          </w:p>
        </w:tc>
        <w:tc>
          <w:tcPr>
            <w:tcW w:w="7648" w:type="dxa"/>
          </w:tcPr>
          <w:p w14:paraId="2174F79D" w14:textId="131120CC" w:rsidR="002F53FA" w:rsidRPr="002F53FA" w:rsidRDefault="002F53FA" w:rsidP="002F53FA">
            <w:pPr>
              <w:spacing w:after="0"/>
              <w:rPr>
                <w:sz w:val="22"/>
                <w:szCs w:val="22"/>
              </w:rPr>
            </w:pPr>
            <w:r w:rsidRPr="002F53FA">
              <w:rPr>
                <w:sz w:val="22"/>
                <w:szCs w:val="22"/>
              </w:rPr>
              <w:t xml:space="preserve">Outpatient </w:t>
            </w:r>
            <w:r w:rsidR="006B0D94">
              <w:rPr>
                <w:sz w:val="22"/>
                <w:szCs w:val="22"/>
              </w:rPr>
              <w:t>Long-Term Remission Monitoring</w:t>
            </w:r>
          </w:p>
        </w:tc>
      </w:tr>
      <w:tr w:rsidR="006B0D94" w:rsidRPr="002F53FA" w14:paraId="2B8E9970" w14:textId="77777777" w:rsidTr="00942BCF">
        <w:trPr>
          <w:trHeight w:val="275"/>
          <w:jc w:val="center"/>
        </w:trPr>
        <w:tc>
          <w:tcPr>
            <w:tcW w:w="1706" w:type="dxa"/>
            <w:vAlign w:val="center"/>
          </w:tcPr>
          <w:p w14:paraId="52A43BBA" w14:textId="36D1058A" w:rsidR="006B0D94" w:rsidRPr="002F53FA" w:rsidRDefault="006B0D94" w:rsidP="006B0D94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</w:tc>
        <w:tc>
          <w:tcPr>
            <w:tcW w:w="7648" w:type="dxa"/>
          </w:tcPr>
          <w:p w14:paraId="01942651" w14:textId="75F18768" w:rsidR="006B0D94" w:rsidRPr="002F53FA" w:rsidRDefault="006B0D94" w:rsidP="002F53FA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Outpatient Treatment Services</w:t>
            </w:r>
          </w:p>
        </w:tc>
      </w:tr>
      <w:tr w:rsidR="002F53FA" w:rsidRPr="002F53FA" w14:paraId="6126C87C" w14:textId="77777777" w:rsidTr="00942BCF">
        <w:trPr>
          <w:trHeight w:val="275"/>
          <w:jc w:val="center"/>
        </w:trPr>
        <w:tc>
          <w:tcPr>
            <w:tcW w:w="1706" w:type="dxa"/>
            <w:vAlign w:val="center"/>
          </w:tcPr>
          <w:p w14:paraId="409AAE50" w14:textId="77777777" w:rsidR="002F53FA" w:rsidRPr="002F53FA" w:rsidRDefault="002F53FA" w:rsidP="00D153CD">
            <w:pPr>
              <w:spacing w:after="0"/>
              <w:jc w:val="center"/>
              <w:rPr>
                <w:sz w:val="22"/>
                <w:szCs w:val="22"/>
              </w:rPr>
            </w:pPr>
            <w:r w:rsidRPr="002F53FA">
              <w:rPr>
                <w:sz w:val="22"/>
                <w:szCs w:val="22"/>
              </w:rPr>
              <w:t>2.1</w:t>
            </w:r>
          </w:p>
        </w:tc>
        <w:tc>
          <w:tcPr>
            <w:tcW w:w="7648" w:type="dxa"/>
          </w:tcPr>
          <w:p w14:paraId="091E0EB4" w14:textId="6AB918C9" w:rsidR="002F53FA" w:rsidRPr="002F53FA" w:rsidRDefault="002F53FA" w:rsidP="002F53FA">
            <w:pPr>
              <w:spacing w:after="0"/>
              <w:rPr>
                <w:sz w:val="22"/>
                <w:szCs w:val="22"/>
              </w:rPr>
            </w:pPr>
            <w:r w:rsidRPr="002F53FA">
              <w:rPr>
                <w:sz w:val="22"/>
                <w:szCs w:val="22"/>
              </w:rPr>
              <w:t xml:space="preserve">Intensive Outpatient </w:t>
            </w:r>
            <w:r w:rsidR="00F406A4">
              <w:rPr>
                <w:sz w:val="22"/>
                <w:szCs w:val="22"/>
              </w:rPr>
              <w:t xml:space="preserve">Treatment </w:t>
            </w:r>
            <w:r w:rsidRPr="002F53FA">
              <w:rPr>
                <w:sz w:val="22"/>
                <w:szCs w:val="22"/>
              </w:rPr>
              <w:t>Services</w:t>
            </w:r>
          </w:p>
        </w:tc>
      </w:tr>
      <w:tr w:rsidR="002F53FA" w:rsidRPr="002F53FA" w14:paraId="0081F926" w14:textId="77777777" w:rsidTr="00942BCF">
        <w:trPr>
          <w:trHeight w:val="275"/>
          <w:jc w:val="center"/>
        </w:trPr>
        <w:tc>
          <w:tcPr>
            <w:tcW w:w="1706" w:type="dxa"/>
            <w:vAlign w:val="center"/>
          </w:tcPr>
          <w:p w14:paraId="27E6269F" w14:textId="77777777" w:rsidR="002F53FA" w:rsidRPr="002F53FA" w:rsidRDefault="002F53FA" w:rsidP="00D153CD">
            <w:pPr>
              <w:spacing w:after="0"/>
              <w:jc w:val="center"/>
              <w:rPr>
                <w:sz w:val="22"/>
                <w:szCs w:val="22"/>
              </w:rPr>
            </w:pPr>
            <w:r w:rsidRPr="002F53FA">
              <w:rPr>
                <w:sz w:val="22"/>
                <w:szCs w:val="22"/>
              </w:rPr>
              <w:t>2.5</w:t>
            </w:r>
          </w:p>
        </w:tc>
        <w:tc>
          <w:tcPr>
            <w:tcW w:w="7648" w:type="dxa"/>
          </w:tcPr>
          <w:p w14:paraId="436478FA" w14:textId="1323FF10" w:rsidR="002F53FA" w:rsidRPr="002F53FA" w:rsidRDefault="006B0D94" w:rsidP="002F53FA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High-Intensity Outpatient Treatment Services</w:t>
            </w:r>
          </w:p>
        </w:tc>
      </w:tr>
      <w:tr w:rsidR="002F53FA" w:rsidRPr="002F53FA" w14:paraId="5B5AC702" w14:textId="77777777" w:rsidTr="00A17AD3">
        <w:trPr>
          <w:trHeight w:val="20"/>
          <w:jc w:val="center"/>
        </w:trPr>
        <w:tc>
          <w:tcPr>
            <w:tcW w:w="1706" w:type="dxa"/>
            <w:vAlign w:val="center"/>
          </w:tcPr>
          <w:p w14:paraId="153FD09E" w14:textId="77777777" w:rsidR="002F53FA" w:rsidRPr="002F53FA" w:rsidRDefault="002F53FA" w:rsidP="00D153CD">
            <w:pPr>
              <w:spacing w:after="0"/>
              <w:jc w:val="center"/>
              <w:rPr>
                <w:sz w:val="22"/>
                <w:szCs w:val="22"/>
              </w:rPr>
            </w:pPr>
            <w:r w:rsidRPr="002F53FA">
              <w:rPr>
                <w:sz w:val="22"/>
                <w:szCs w:val="22"/>
              </w:rPr>
              <w:t>3.1</w:t>
            </w:r>
          </w:p>
        </w:tc>
        <w:tc>
          <w:tcPr>
            <w:tcW w:w="7648" w:type="dxa"/>
          </w:tcPr>
          <w:p w14:paraId="4C32FE83" w14:textId="77777777" w:rsidR="002F53FA" w:rsidRPr="002F53FA" w:rsidRDefault="002F53FA" w:rsidP="002F53FA">
            <w:pPr>
              <w:spacing w:after="0"/>
              <w:rPr>
                <w:sz w:val="22"/>
                <w:szCs w:val="22"/>
              </w:rPr>
            </w:pPr>
            <w:r w:rsidRPr="002F53FA">
              <w:rPr>
                <w:sz w:val="22"/>
                <w:szCs w:val="22"/>
              </w:rPr>
              <w:t>Clinically Managed Low Intensity Residential Services</w:t>
            </w:r>
          </w:p>
        </w:tc>
      </w:tr>
      <w:tr w:rsidR="002F53FA" w:rsidRPr="002F53FA" w14:paraId="2856160B" w14:textId="77777777" w:rsidTr="00A17AD3">
        <w:trPr>
          <w:trHeight w:val="20"/>
          <w:jc w:val="center"/>
        </w:trPr>
        <w:tc>
          <w:tcPr>
            <w:tcW w:w="1706" w:type="dxa"/>
            <w:vAlign w:val="center"/>
          </w:tcPr>
          <w:p w14:paraId="1A280065" w14:textId="77777777" w:rsidR="002F53FA" w:rsidRPr="002F53FA" w:rsidRDefault="002F53FA" w:rsidP="00D153CD">
            <w:pPr>
              <w:spacing w:after="0"/>
              <w:jc w:val="center"/>
              <w:rPr>
                <w:sz w:val="22"/>
                <w:szCs w:val="22"/>
              </w:rPr>
            </w:pPr>
            <w:r w:rsidRPr="002F53FA">
              <w:rPr>
                <w:sz w:val="22"/>
                <w:szCs w:val="22"/>
              </w:rPr>
              <w:lastRenderedPageBreak/>
              <w:t>3.5</w:t>
            </w:r>
          </w:p>
        </w:tc>
        <w:tc>
          <w:tcPr>
            <w:tcW w:w="7648" w:type="dxa"/>
          </w:tcPr>
          <w:p w14:paraId="0BA3DCB0" w14:textId="77777777" w:rsidR="002F53FA" w:rsidRPr="002F53FA" w:rsidRDefault="002F53FA" w:rsidP="002F53FA">
            <w:pPr>
              <w:spacing w:after="0"/>
              <w:rPr>
                <w:sz w:val="22"/>
                <w:szCs w:val="22"/>
              </w:rPr>
            </w:pPr>
            <w:r w:rsidRPr="002F53FA">
              <w:rPr>
                <w:sz w:val="22"/>
                <w:szCs w:val="22"/>
              </w:rPr>
              <w:t>Clinically Managed High Intensity Residential Services</w:t>
            </w:r>
          </w:p>
        </w:tc>
      </w:tr>
      <w:tr w:rsidR="002F53FA" w:rsidRPr="002F53FA" w14:paraId="2FCAA5E8" w14:textId="77777777" w:rsidTr="00A17AD3">
        <w:trPr>
          <w:trHeight w:val="20"/>
          <w:jc w:val="center"/>
        </w:trPr>
        <w:tc>
          <w:tcPr>
            <w:tcW w:w="1706" w:type="dxa"/>
            <w:vAlign w:val="center"/>
          </w:tcPr>
          <w:p w14:paraId="09987020" w14:textId="77777777" w:rsidR="002F53FA" w:rsidRPr="002F53FA" w:rsidRDefault="002F53FA" w:rsidP="00D153CD">
            <w:pPr>
              <w:spacing w:after="0"/>
              <w:jc w:val="center"/>
              <w:rPr>
                <w:sz w:val="22"/>
                <w:szCs w:val="22"/>
              </w:rPr>
            </w:pPr>
            <w:r w:rsidRPr="002F53FA">
              <w:rPr>
                <w:sz w:val="22"/>
                <w:szCs w:val="22"/>
              </w:rPr>
              <w:t>3.7</w:t>
            </w:r>
          </w:p>
        </w:tc>
        <w:tc>
          <w:tcPr>
            <w:tcW w:w="7648" w:type="dxa"/>
          </w:tcPr>
          <w:p w14:paraId="38124415" w14:textId="66FCD131" w:rsidR="002F53FA" w:rsidRPr="002F53FA" w:rsidRDefault="002F53FA" w:rsidP="002F53FA">
            <w:pPr>
              <w:spacing w:after="0"/>
              <w:rPr>
                <w:sz w:val="22"/>
                <w:szCs w:val="22"/>
              </w:rPr>
            </w:pPr>
            <w:r w:rsidRPr="002F53FA">
              <w:rPr>
                <w:sz w:val="22"/>
                <w:szCs w:val="22"/>
              </w:rPr>
              <w:t xml:space="preserve">Medically </w:t>
            </w:r>
            <w:r w:rsidR="006B0D94">
              <w:rPr>
                <w:sz w:val="22"/>
                <w:szCs w:val="22"/>
              </w:rPr>
              <w:t>Managed Residential Treatment Services</w:t>
            </w:r>
          </w:p>
        </w:tc>
      </w:tr>
      <w:tr w:rsidR="00F65E5C" w:rsidRPr="002F53FA" w14:paraId="05C4488A" w14:textId="77777777" w:rsidTr="00A17AD3">
        <w:trPr>
          <w:trHeight w:val="20"/>
          <w:jc w:val="center"/>
        </w:trPr>
        <w:tc>
          <w:tcPr>
            <w:tcW w:w="1706" w:type="dxa"/>
            <w:vAlign w:val="center"/>
          </w:tcPr>
          <w:p w14:paraId="05F9339B" w14:textId="7E29C345" w:rsidR="00F65E5C" w:rsidRPr="002F53FA" w:rsidRDefault="00F65E5C" w:rsidP="00D153C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 Bio</w:t>
            </w:r>
          </w:p>
        </w:tc>
        <w:tc>
          <w:tcPr>
            <w:tcW w:w="7648" w:type="dxa"/>
          </w:tcPr>
          <w:p w14:paraId="443D7BD4" w14:textId="0BF2307A" w:rsidR="00F65E5C" w:rsidRPr="002F53FA" w:rsidRDefault="006B0D94" w:rsidP="002F53FA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BIO Medically Managed Biomedically Enhanced Residential Treatment </w:t>
            </w:r>
          </w:p>
        </w:tc>
      </w:tr>
      <w:tr w:rsidR="002F53FA" w:rsidRPr="002F53FA" w14:paraId="601C3315" w14:textId="77777777" w:rsidTr="00A17AD3">
        <w:trPr>
          <w:trHeight w:val="20"/>
          <w:jc w:val="center"/>
        </w:trPr>
        <w:tc>
          <w:tcPr>
            <w:tcW w:w="1706" w:type="dxa"/>
            <w:vAlign w:val="center"/>
          </w:tcPr>
          <w:p w14:paraId="6E4DD5E0" w14:textId="3BF68510" w:rsidR="002F53FA" w:rsidRPr="002F53FA" w:rsidRDefault="002F53FA" w:rsidP="00D153CD">
            <w:pPr>
              <w:spacing w:after="0"/>
              <w:jc w:val="center"/>
              <w:rPr>
                <w:sz w:val="22"/>
                <w:szCs w:val="22"/>
              </w:rPr>
            </w:pPr>
            <w:r w:rsidRPr="002F53FA">
              <w:rPr>
                <w:sz w:val="22"/>
                <w:szCs w:val="22"/>
              </w:rPr>
              <w:t>1</w:t>
            </w:r>
            <w:r w:rsidR="00F65E5C">
              <w:rPr>
                <w:sz w:val="22"/>
                <w:szCs w:val="22"/>
              </w:rPr>
              <w:t>.7</w:t>
            </w:r>
          </w:p>
        </w:tc>
        <w:tc>
          <w:tcPr>
            <w:tcW w:w="7648" w:type="dxa"/>
          </w:tcPr>
          <w:p w14:paraId="3B12ED09" w14:textId="6AD4108E" w:rsidR="002F53FA" w:rsidRPr="002F53FA" w:rsidRDefault="006B0D94" w:rsidP="002F53FA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Medically Managed Outpatient Treatment </w:t>
            </w:r>
          </w:p>
        </w:tc>
      </w:tr>
      <w:tr w:rsidR="002F53FA" w:rsidRPr="002F53FA" w14:paraId="0FB3F46D" w14:textId="77777777" w:rsidTr="00A17AD3">
        <w:trPr>
          <w:trHeight w:val="20"/>
          <w:jc w:val="center"/>
        </w:trPr>
        <w:tc>
          <w:tcPr>
            <w:tcW w:w="1706" w:type="dxa"/>
            <w:vAlign w:val="center"/>
          </w:tcPr>
          <w:p w14:paraId="34E08B0A" w14:textId="14611597" w:rsidR="002F53FA" w:rsidRPr="002F53FA" w:rsidRDefault="002F53FA" w:rsidP="00D153CD">
            <w:pPr>
              <w:spacing w:after="0"/>
              <w:jc w:val="center"/>
              <w:rPr>
                <w:sz w:val="22"/>
                <w:szCs w:val="22"/>
              </w:rPr>
            </w:pPr>
            <w:r w:rsidRPr="002F53FA">
              <w:rPr>
                <w:sz w:val="22"/>
                <w:szCs w:val="22"/>
              </w:rPr>
              <w:t>2</w:t>
            </w:r>
            <w:r w:rsidR="00F65E5C">
              <w:rPr>
                <w:sz w:val="22"/>
                <w:szCs w:val="22"/>
              </w:rPr>
              <w:t>.7</w:t>
            </w:r>
          </w:p>
        </w:tc>
        <w:tc>
          <w:tcPr>
            <w:tcW w:w="7648" w:type="dxa"/>
          </w:tcPr>
          <w:p w14:paraId="2542D361" w14:textId="35F4A344" w:rsidR="002F53FA" w:rsidRPr="002F53FA" w:rsidRDefault="006B0D94" w:rsidP="002F53FA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Medically Managed Intensive Outpatient Treatment </w:t>
            </w:r>
          </w:p>
        </w:tc>
      </w:tr>
      <w:tr w:rsidR="002F53FA" w:rsidRPr="002F53FA" w14:paraId="51E68364" w14:textId="77777777" w:rsidTr="00A17AD3">
        <w:trPr>
          <w:trHeight w:val="20"/>
          <w:jc w:val="center"/>
        </w:trPr>
        <w:tc>
          <w:tcPr>
            <w:tcW w:w="1706" w:type="dxa"/>
            <w:vAlign w:val="center"/>
          </w:tcPr>
          <w:p w14:paraId="05B4B851" w14:textId="77777777" w:rsidR="002F53FA" w:rsidRPr="002F53FA" w:rsidRDefault="002F53FA" w:rsidP="00D153CD">
            <w:pPr>
              <w:spacing w:after="0"/>
              <w:jc w:val="center"/>
              <w:rPr>
                <w:sz w:val="22"/>
                <w:szCs w:val="22"/>
              </w:rPr>
            </w:pPr>
            <w:r w:rsidRPr="002F53FA">
              <w:rPr>
                <w:sz w:val="22"/>
                <w:szCs w:val="22"/>
              </w:rPr>
              <w:t>3.2-</w:t>
            </w:r>
            <w:r w:rsidRPr="002F53FA">
              <w:rPr>
                <w:rFonts w:ascii="Arial" w:hAnsi="Arial" w:cs="Arial"/>
                <w:sz w:val="22"/>
                <w:szCs w:val="22"/>
              </w:rPr>
              <w:t>​</w:t>
            </w:r>
            <w:r w:rsidRPr="002F53FA">
              <w:rPr>
                <w:sz w:val="22"/>
                <w:szCs w:val="22"/>
              </w:rPr>
              <w:t>WM</w:t>
            </w:r>
          </w:p>
        </w:tc>
        <w:tc>
          <w:tcPr>
            <w:tcW w:w="7648" w:type="dxa"/>
          </w:tcPr>
          <w:p w14:paraId="010FB02E" w14:textId="77777777" w:rsidR="002F53FA" w:rsidRPr="002F53FA" w:rsidRDefault="002F53FA" w:rsidP="002F53FA">
            <w:pPr>
              <w:spacing w:after="0"/>
              <w:rPr>
                <w:sz w:val="22"/>
                <w:szCs w:val="22"/>
              </w:rPr>
            </w:pPr>
            <w:r w:rsidRPr="002F53FA">
              <w:rPr>
                <w:sz w:val="22"/>
                <w:szCs w:val="22"/>
              </w:rPr>
              <w:t>Clinically Managed Residential Withdrawal Management</w:t>
            </w:r>
          </w:p>
        </w:tc>
      </w:tr>
      <w:tr w:rsidR="002F53FA" w:rsidRPr="002F53FA" w14:paraId="384723C6" w14:textId="77777777" w:rsidTr="00A17AD3">
        <w:trPr>
          <w:trHeight w:val="20"/>
          <w:jc w:val="center"/>
        </w:trPr>
        <w:tc>
          <w:tcPr>
            <w:tcW w:w="1706" w:type="dxa"/>
            <w:vAlign w:val="center"/>
          </w:tcPr>
          <w:p w14:paraId="134B7364" w14:textId="77777777" w:rsidR="002F53FA" w:rsidRPr="002F53FA" w:rsidRDefault="002F53FA" w:rsidP="00D153CD">
            <w:pPr>
              <w:spacing w:after="0"/>
              <w:jc w:val="center"/>
              <w:rPr>
                <w:sz w:val="22"/>
                <w:szCs w:val="22"/>
              </w:rPr>
            </w:pPr>
            <w:r w:rsidRPr="002F53FA">
              <w:rPr>
                <w:sz w:val="22"/>
                <w:szCs w:val="22"/>
              </w:rPr>
              <w:t>3.7-</w:t>
            </w:r>
            <w:r w:rsidRPr="002F53FA">
              <w:rPr>
                <w:rFonts w:ascii="Arial" w:hAnsi="Arial" w:cs="Arial"/>
                <w:sz w:val="22"/>
                <w:szCs w:val="22"/>
              </w:rPr>
              <w:t>​</w:t>
            </w:r>
            <w:r w:rsidRPr="002F53FA">
              <w:rPr>
                <w:sz w:val="22"/>
                <w:szCs w:val="22"/>
              </w:rPr>
              <w:t>WM</w:t>
            </w:r>
          </w:p>
        </w:tc>
        <w:tc>
          <w:tcPr>
            <w:tcW w:w="7648" w:type="dxa"/>
          </w:tcPr>
          <w:p w14:paraId="50967D06" w14:textId="77777777" w:rsidR="002F53FA" w:rsidRPr="002F53FA" w:rsidRDefault="002F53FA" w:rsidP="002F53FA">
            <w:pPr>
              <w:spacing w:after="0"/>
              <w:rPr>
                <w:sz w:val="22"/>
                <w:szCs w:val="22"/>
              </w:rPr>
            </w:pPr>
            <w:r w:rsidRPr="002F53FA">
              <w:rPr>
                <w:sz w:val="22"/>
                <w:szCs w:val="22"/>
              </w:rPr>
              <w:t>Medically Monitored Inpatient Withdrawal Management</w:t>
            </w:r>
          </w:p>
        </w:tc>
      </w:tr>
      <w:bookmarkEnd w:id="9"/>
    </w:tbl>
    <w:p w14:paraId="74FAAEE2" w14:textId="77777777" w:rsidR="009C1D59" w:rsidRDefault="009C1D59" w:rsidP="002F53FA">
      <w:pPr>
        <w:spacing w:after="0"/>
        <w:rPr>
          <w:sz w:val="22"/>
          <w:szCs w:val="22"/>
        </w:rPr>
      </w:pPr>
    </w:p>
    <w:p w14:paraId="683B1D82" w14:textId="09B6D1FF" w:rsidR="00073E28" w:rsidRPr="00073E28" w:rsidRDefault="00073E28" w:rsidP="00942BCF">
      <w:pPr>
        <w:spacing w:after="0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Timely Access Standards</w:t>
      </w:r>
      <w:r w:rsidR="009432BB">
        <w:rPr>
          <w:b/>
          <w:bCs/>
          <w:sz w:val="22"/>
          <w:szCs w:val="22"/>
          <w:u w:val="single"/>
        </w:rPr>
        <w:t xml:space="preserve"> 438.68(e)</w:t>
      </w:r>
    </w:p>
    <w:tbl>
      <w:tblPr>
        <w:tblStyle w:val="ListTable4-Accent1"/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67"/>
        <w:gridCol w:w="4768"/>
      </w:tblGrid>
      <w:tr w:rsidR="00073E28" w:rsidRPr="00073E28" w14:paraId="23EBD966" w14:textId="77777777" w:rsidTr="00942B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40F595F" w14:textId="0CCA9A57" w:rsidR="00073E28" w:rsidRPr="00D153CD" w:rsidRDefault="00372A70" w:rsidP="00073E28">
            <w:pPr>
              <w:spacing w:line="278" w:lineRule="auto"/>
              <w:rPr>
                <w:b w:val="0"/>
                <w:sz w:val="22"/>
                <w:szCs w:val="22"/>
              </w:rPr>
            </w:pPr>
            <w:r w:rsidRPr="00D153CD">
              <w:rPr>
                <w:sz w:val="22"/>
                <w:szCs w:val="22"/>
              </w:rPr>
              <w:t>Service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6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BE46463" w14:textId="77777777" w:rsidR="00073E28" w:rsidRPr="00D153CD" w:rsidRDefault="00073E28" w:rsidP="00073E28">
            <w:pPr>
              <w:spacing w:line="278" w:lineRule="auto"/>
              <w:rPr>
                <w:b w:val="0"/>
                <w:bCs w:val="0"/>
                <w:sz w:val="22"/>
                <w:szCs w:val="22"/>
              </w:rPr>
            </w:pPr>
            <w:r w:rsidRPr="00D153CD">
              <w:rPr>
                <w:sz w:val="22"/>
                <w:szCs w:val="22"/>
              </w:rPr>
              <w:t>Standard</w:t>
            </w:r>
          </w:p>
        </w:tc>
      </w:tr>
      <w:tr w:rsidR="00073E28" w:rsidRPr="00073E28" w14:paraId="731ECFE2" w14:textId="77777777" w:rsidTr="00A17A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7" w:type="dxa"/>
            <w:shd w:val="clear" w:color="auto" w:fill="auto"/>
          </w:tcPr>
          <w:p w14:paraId="72AF2106" w14:textId="711EE9BD" w:rsidR="00073E28" w:rsidRPr="00073E28" w:rsidRDefault="00A90D10" w:rsidP="00073E28">
            <w:pPr>
              <w:spacing w:line="2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Crisis Residential Program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68" w:type="dxa"/>
            <w:shd w:val="clear" w:color="auto" w:fill="auto"/>
          </w:tcPr>
          <w:p w14:paraId="4392D5BF" w14:textId="0F2DBDCB" w:rsidR="00073E28" w:rsidRPr="00073E28" w:rsidRDefault="005336FD" w:rsidP="00073E28">
            <w:pPr>
              <w:spacing w:line="2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Within </w:t>
            </w:r>
            <w:r w:rsidR="00431F32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 xml:space="preserve"> hours of </w:t>
            </w:r>
            <w:r w:rsidR="006803CD">
              <w:rPr>
                <w:sz w:val="22"/>
                <w:szCs w:val="22"/>
              </w:rPr>
              <w:t>authorization</w:t>
            </w:r>
          </w:p>
        </w:tc>
      </w:tr>
      <w:tr w:rsidR="00073E28" w:rsidRPr="00073E28" w14:paraId="7EEF92C0" w14:textId="77777777" w:rsidTr="00A17AD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7" w:type="dxa"/>
          </w:tcPr>
          <w:p w14:paraId="001A0698" w14:textId="6699529A" w:rsidR="00073E28" w:rsidRPr="00073E28" w:rsidRDefault="00A90D10" w:rsidP="00073E28">
            <w:pPr>
              <w:spacing w:line="2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Inpatient Psychiatric Services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68" w:type="dxa"/>
          </w:tcPr>
          <w:p w14:paraId="017BA181" w14:textId="4A633BCE" w:rsidR="00073E28" w:rsidRPr="00073E28" w:rsidRDefault="001B70EC" w:rsidP="00073E28">
            <w:pPr>
              <w:spacing w:line="2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Within </w:t>
            </w:r>
            <w:r w:rsidR="00431F32">
              <w:rPr>
                <w:sz w:val="22"/>
                <w:szCs w:val="22"/>
              </w:rPr>
              <w:t>24</w:t>
            </w:r>
            <w:r w:rsidR="005336FD">
              <w:rPr>
                <w:sz w:val="22"/>
                <w:szCs w:val="22"/>
              </w:rPr>
              <w:t xml:space="preserve"> hours </w:t>
            </w:r>
            <w:r w:rsidR="006803CD">
              <w:rPr>
                <w:sz w:val="22"/>
                <w:szCs w:val="22"/>
              </w:rPr>
              <w:t>of authorization</w:t>
            </w:r>
          </w:p>
        </w:tc>
      </w:tr>
      <w:tr w:rsidR="00F65F74" w:rsidRPr="00073E28" w14:paraId="317EAD7B" w14:textId="77777777" w:rsidTr="00A17A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7" w:type="dxa"/>
            <w:shd w:val="clear" w:color="auto" w:fill="auto"/>
          </w:tcPr>
          <w:p w14:paraId="349951DC" w14:textId="307B7D93" w:rsidR="00F65F74" w:rsidRDefault="00F65F74" w:rsidP="00073E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Pre-Admission Screen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68" w:type="dxa"/>
            <w:shd w:val="clear" w:color="auto" w:fill="auto"/>
          </w:tcPr>
          <w:p w14:paraId="78E62DF9" w14:textId="0C5E3214" w:rsidR="00F65F74" w:rsidRDefault="00742623" w:rsidP="00073E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Disposition complete</w:t>
            </w:r>
            <w:r w:rsidR="00E87ED2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 within 3 hours</w:t>
            </w:r>
          </w:p>
        </w:tc>
      </w:tr>
      <w:tr w:rsidR="00362FF3" w:rsidRPr="00073E28" w14:paraId="10E07EA3" w14:textId="77777777" w:rsidTr="00A17AD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7" w:type="dxa"/>
          </w:tcPr>
          <w:p w14:paraId="1062C515" w14:textId="3A2FB772" w:rsidR="00362FF3" w:rsidRDefault="00254B54" w:rsidP="00073E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Intensive Crisis Stabilization Services </w:t>
            </w:r>
            <w:r w:rsidR="00431F32">
              <w:rPr>
                <w:sz w:val="22"/>
                <w:szCs w:val="22"/>
              </w:rPr>
              <w:t>Mobile Crisis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68" w:type="dxa"/>
          </w:tcPr>
          <w:p w14:paraId="382F7D23" w14:textId="54B7EF92" w:rsidR="00362FF3" w:rsidRPr="00073E28" w:rsidRDefault="003F1064" w:rsidP="00073E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Schedule E reporting – 1 hour urban, 2 hours rural</w:t>
            </w:r>
          </w:p>
        </w:tc>
      </w:tr>
      <w:tr w:rsidR="005336FD" w:rsidRPr="00073E28" w14:paraId="7570CABB" w14:textId="77777777" w:rsidTr="00A17A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7" w:type="dxa"/>
            <w:shd w:val="clear" w:color="auto" w:fill="auto"/>
          </w:tcPr>
          <w:p w14:paraId="5254865D" w14:textId="21AB23B9" w:rsidR="005336FD" w:rsidRDefault="005336FD" w:rsidP="005336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Assertive Community Treatment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68" w:type="dxa"/>
            <w:shd w:val="clear" w:color="auto" w:fill="auto"/>
          </w:tcPr>
          <w:p w14:paraId="0FB387E3" w14:textId="7D052350" w:rsidR="005336FD" w:rsidRPr="005B4640" w:rsidRDefault="005336FD" w:rsidP="005336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Within 7 business days of assessment </w:t>
            </w:r>
          </w:p>
        </w:tc>
      </w:tr>
      <w:tr w:rsidR="005336FD" w:rsidRPr="00073E28" w14:paraId="6324A1B1" w14:textId="77777777" w:rsidTr="00A17AD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7" w:type="dxa"/>
          </w:tcPr>
          <w:p w14:paraId="415FDCC0" w14:textId="2706E938" w:rsidR="005336FD" w:rsidRPr="00942BCF" w:rsidRDefault="00976C56" w:rsidP="005336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Intensive Care Coordination with Wraparound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68" w:type="dxa"/>
          </w:tcPr>
          <w:p w14:paraId="15A4823A" w14:textId="6898163D" w:rsidR="005336FD" w:rsidRPr="00942BCF" w:rsidRDefault="005336FD" w:rsidP="005336FD">
            <w:pPr>
              <w:rPr>
                <w:sz w:val="22"/>
                <w:szCs w:val="22"/>
              </w:rPr>
            </w:pPr>
            <w:r w:rsidRPr="005B4640">
              <w:rPr>
                <w:sz w:val="22"/>
                <w:szCs w:val="22"/>
              </w:rPr>
              <w:t xml:space="preserve">Within 10 business days of </w:t>
            </w:r>
            <w:r>
              <w:rPr>
                <w:sz w:val="22"/>
                <w:szCs w:val="22"/>
              </w:rPr>
              <w:t>disposition</w:t>
            </w:r>
            <w:r w:rsidR="00D440EE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 xml:space="preserve"> date</w:t>
            </w:r>
          </w:p>
        </w:tc>
      </w:tr>
      <w:tr w:rsidR="005336FD" w:rsidRPr="00073E28" w14:paraId="749BCAE6" w14:textId="77777777" w:rsidTr="00A17A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7" w:type="dxa"/>
            <w:shd w:val="clear" w:color="auto" w:fill="auto"/>
          </w:tcPr>
          <w:p w14:paraId="4C8281C6" w14:textId="75C15B20" w:rsidR="005336FD" w:rsidRDefault="005336FD" w:rsidP="005336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Home-based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68" w:type="dxa"/>
            <w:shd w:val="clear" w:color="auto" w:fill="auto"/>
          </w:tcPr>
          <w:p w14:paraId="45B96671" w14:textId="40967F22" w:rsidR="005336FD" w:rsidRPr="005B4640" w:rsidRDefault="005336FD" w:rsidP="005336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Within 10 business days of disposition</w:t>
            </w:r>
            <w:r w:rsidR="00D440EE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 xml:space="preserve"> date</w:t>
            </w:r>
          </w:p>
        </w:tc>
      </w:tr>
      <w:tr w:rsidR="005336FD" w:rsidRPr="00073E28" w14:paraId="760A07ED" w14:textId="77777777" w:rsidTr="00A17AD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7" w:type="dxa"/>
          </w:tcPr>
          <w:p w14:paraId="08951C29" w14:textId="77777777" w:rsidR="005336FD" w:rsidRPr="00073E28" w:rsidRDefault="005336FD" w:rsidP="005336FD">
            <w:pPr>
              <w:spacing w:line="278" w:lineRule="auto"/>
              <w:rPr>
                <w:sz w:val="22"/>
                <w:szCs w:val="22"/>
              </w:rPr>
            </w:pPr>
            <w:r w:rsidRPr="00073E28">
              <w:rPr>
                <w:sz w:val="22"/>
                <w:szCs w:val="22"/>
              </w:rPr>
              <w:t xml:space="preserve">Respite Services </w:t>
            </w:r>
            <w:r w:rsidRPr="00073E28">
              <w:rPr>
                <w:sz w:val="22"/>
                <w:szCs w:val="22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68" w:type="dxa"/>
          </w:tcPr>
          <w:p w14:paraId="5B661394" w14:textId="3D7EB299" w:rsidR="005336FD" w:rsidRPr="00073E28" w:rsidRDefault="005336FD" w:rsidP="005336FD">
            <w:pPr>
              <w:spacing w:line="2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Within 10 business days of disposition</w:t>
            </w:r>
            <w:r w:rsidR="00D440EE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 xml:space="preserve"> date</w:t>
            </w:r>
          </w:p>
        </w:tc>
      </w:tr>
      <w:tr w:rsidR="005336FD" w:rsidRPr="00073E28" w14:paraId="2F4AE13D" w14:textId="77777777" w:rsidTr="00A17A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7" w:type="dxa"/>
            <w:shd w:val="clear" w:color="auto" w:fill="auto"/>
          </w:tcPr>
          <w:p w14:paraId="79DF1644" w14:textId="77777777" w:rsidR="005336FD" w:rsidRPr="00073E28" w:rsidRDefault="005336FD" w:rsidP="005336FD">
            <w:pPr>
              <w:spacing w:line="278" w:lineRule="auto"/>
              <w:rPr>
                <w:sz w:val="22"/>
                <w:szCs w:val="22"/>
              </w:rPr>
            </w:pPr>
            <w:r w:rsidRPr="00073E28">
              <w:rPr>
                <w:sz w:val="22"/>
                <w:szCs w:val="22"/>
              </w:rPr>
              <w:t xml:space="preserve">Parent Support Partners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68" w:type="dxa"/>
            <w:shd w:val="clear" w:color="auto" w:fill="auto"/>
          </w:tcPr>
          <w:p w14:paraId="7E66229D" w14:textId="436CBC40" w:rsidR="005336FD" w:rsidRPr="00073E28" w:rsidRDefault="005336FD" w:rsidP="005336FD">
            <w:pPr>
              <w:spacing w:line="2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Within 10 business days of disposition</w:t>
            </w:r>
            <w:r w:rsidR="00D440EE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 xml:space="preserve"> date</w:t>
            </w:r>
          </w:p>
        </w:tc>
      </w:tr>
      <w:tr w:rsidR="005336FD" w:rsidRPr="00073E28" w14:paraId="3228B3AF" w14:textId="77777777" w:rsidTr="00A17AD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7" w:type="dxa"/>
          </w:tcPr>
          <w:p w14:paraId="66AFB2E8" w14:textId="77777777" w:rsidR="005336FD" w:rsidRPr="00073E28" w:rsidRDefault="005336FD" w:rsidP="005336FD">
            <w:pPr>
              <w:spacing w:line="278" w:lineRule="auto"/>
              <w:rPr>
                <w:sz w:val="22"/>
                <w:szCs w:val="22"/>
              </w:rPr>
            </w:pPr>
            <w:r w:rsidRPr="00073E28">
              <w:rPr>
                <w:sz w:val="22"/>
                <w:szCs w:val="22"/>
              </w:rPr>
              <w:t xml:space="preserve">Youth Peer Supports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68" w:type="dxa"/>
          </w:tcPr>
          <w:p w14:paraId="7D6F4EA3" w14:textId="6B1944AE" w:rsidR="005336FD" w:rsidRPr="00073E28" w:rsidRDefault="005336FD" w:rsidP="005336FD">
            <w:pPr>
              <w:spacing w:line="2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Within 10 business days of disposition</w:t>
            </w:r>
            <w:r w:rsidR="00D440EE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 xml:space="preserve"> date</w:t>
            </w:r>
          </w:p>
        </w:tc>
      </w:tr>
      <w:tr w:rsidR="005336FD" w:rsidRPr="00073E28" w14:paraId="4792AB99" w14:textId="77777777" w:rsidTr="00D440E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7" w:type="dxa"/>
            <w:tcBorders>
              <w:top w:val="none" w:sz="0" w:space="0" w:color="auto"/>
            </w:tcBorders>
          </w:tcPr>
          <w:p w14:paraId="169456E1" w14:textId="6AEC40B3" w:rsidR="005336FD" w:rsidRDefault="005336FD" w:rsidP="005336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Autism Services (97155)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68" w:type="dxa"/>
            <w:tcBorders>
              <w:top w:val="none" w:sz="0" w:space="0" w:color="auto"/>
            </w:tcBorders>
          </w:tcPr>
          <w:p w14:paraId="53D5AE75" w14:textId="0B1E8835" w:rsidR="005336FD" w:rsidRPr="005B4640" w:rsidRDefault="005336FD" w:rsidP="005336FD">
            <w:pPr>
              <w:rPr>
                <w:sz w:val="22"/>
                <w:szCs w:val="22"/>
              </w:rPr>
            </w:pPr>
            <w:r w:rsidRPr="005B4640">
              <w:rPr>
                <w:sz w:val="22"/>
                <w:szCs w:val="22"/>
              </w:rPr>
              <w:t xml:space="preserve">Within 10 business days of </w:t>
            </w:r>
            <w:r>
              <w:rPr>
                <w:sz w:val="22"/>
                <w:szCs w:val="22"/>
              </w:rPr>
              <w:t>97151 assessment</w:t>
            </w:r>
          </w:p>
        </w:tc>
      </w:tr>
    </w:tbl>
    <w:p w14:paraId="06702656" w14:textId="77777777" w:rsidR="00D440EE" w:rsidRDefault="00D440EE" w:rsidP="00D440EE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*Individuals with a disposition of 1 will be included. </w:t>
      </w:r>
    </w:p>
    <w:p w14:paraId="11B514A9" w14:textId="77777777" w:rsidR="00B5139F" w:rsidRDefault="00B5139F" w:rsidP="00186079">
      <w:pPr>
        <w:spacing w:after="0"/>
        <w:rPr>
          <w:b/>
          <w:bCs/>
          <w:sz w:val="22"/>
          <w:szCs w:val="22"/>
        </w:rPr>
      </w:pPr>
    </w:p>
    <w:p w14:paraId="505E43C7" w14:textId="21A7E28F" w:rsidR="009432BB" w:rsidRPr="00942BCF" w:rsidRDefault="009432BB" w:rsidP="00186079">
      <w:pPr>
        <w:spacing w:after="0"/>
        <w:rPr>
          <w:b/>
          <w:bCs/>
          <w:sz w:val="22"/>
          <w:szCs w:val="22"/>
          <w:u w:val="single"/>
        </w:rPr>
      </w:pPr>
      <w:r w:rsidRPr="00942BCF">
        <w:rPr>
          <w:b/>
          <w:bCs/>
          <w:sz w:val="22"/>
          <w:szCs w:val="22"/>
          <w:u w:val="single"/>
        </w:rPr>
        <w:t xml:space="preserve">Compliance </w:t>
      </w:r>
      <w:r w:rsidR="009C1D59" w:rsidRPr="00942BCF">
        <w:rPr>
          <w:b/>
          <w:bCs/>
          <w:sz w:val="22"/>
          <w:szCs w:val="22"/>
          <w:u w:val="single"/>
        </w:rPr>
        <w:t>- Timeliness</w:t>
      </w:r>
    </w:p>
    <w:p w14:paraId="1EF8395E" w14:textId="102F2BEB" w:rsidR="009432BB" w:rsidRPr="009432BB" w:rsidRDefault="009432BB" w:rsidP="00186079">
      <w:pPr>
        <w:spacing w:after="0"/>
        <w:rPr>
          <w:sz w:val="22"/>
          <w:szCs w:val="22"/>
        </w:rPr>
      </w:pPr>
      <w:r>
        <w:rPr>
          <w:sz w:val="22"/>
          <w:szCs w:val="22"/>
        </w:rPr>
        <w:t>Plans must meet at least a 90% compliance rate for timeliness standard</w:t>
      </w:r>
      <w:r w:rsidR="002758EB">
        <w:rPr>
          <w:sz w:val="22"/>
          <w:szCs w:val="22"/>
        </w:rPr>
        <w:t>s</w:t>
      </w:r>
      <w:r w:rsidR="006C72BB">
        <w:rPr>
          <w:sz w:val="22"/>
          <w:szCs w:val="22"/>
        </w:rPr>
        <w:t xml:space="preserve"> (</w:t>
      </w:r>
      <w:r w:rsidR="006C72BB" w:rsidRPr="006C72BB">
        <w:rPr>
          <w:sz w:val="22"/>
          <w:szCs w:val="22"/>
        </w:rPr>
        <w:t>42 CFR 438.68(e)(2)</w:t>
      </w:r>
      <w:r w:rsidR="006C72BB">
        <w:rPr>
          <w:sz w:val="22"/>
          <w:szCs w:val="22"/>
        </w:rPr>
        <w:t>)</w:t>
      </w:r>
      <w:r w:rsidR="005555AB">
        <w:rPr>
          <w:sz w:val="22"/>
          <w:szCs w:val="22"/>
        </w:rPr>
        <w:t xml:space="preserve"> for all services except for Crisis Residential, Pre-Admission Screen, and Inpatient Psychiatric Services. PIHPs must meet at least 95% compliance rate for these services. </w:t>
      </w:r>
      <w:r w:rsidR="00CE1936">
        <w:rPr>
          <w:sz w:val="22"/>
          <w:szCs w:val="22"/>
        </w:rPr>
        <w:t>MDHHS recommends review of and compliance with the Timely Access Standards above.</w:t>
      </w:r>
    </w:p>
    <w:p w14:paraId="1F858AC8" w14:textId="77777777" w:rsidR="009432BB" w:rsidRDefault="009432BB" w:rsidP="00186079">
      <w:pPr>
        <w:spacing w:after="0"/>
        <w:rPr>
          <w:sz w:val="22"/>
          <w:szCs w:val="22"/>
        </w:rPr>
      </w:pPr>
    </w:p>
    <w:p w14:paraId="35F5BCA7" w14:textId="41F57FC5" w:rsidR="002F53FA" w:rsidRDefault="00EE12B5" w:rsidP="00186079">
      <w:pPr>
        <w:spacing w:after="0"/>
        <w:rPr>
          <w:sz w:val="22"/>
          <w:szCs w:val="22"/>
        </w:rPr>
      </w:pPr>
      <w:r w:rsidRPr="000A3C8E">
        <w:rPr>
          <w:sz w:val="22"/>
          <w:szCs w:val="22"/>
        </w:rPr>
        <w:t xml:space="preserve">MDHHS will measure timeliness of services on a </w:t>
      </w:r>
      <w:r w:rsidR="00833C93">
        <w:rPr>
          <w:sz w:val="22"/>
          <w:szCs w:val="22"/>
        </w:rPr>
        <w:t xml:space="preserve">regular </w:t>
      </w:r>
      <w:r w:rsidRPr="000A3C8E">
        <w:rPr>
          <w:sz w:val="22"/>
          <w:szCs w:val="22"/>
        </w:rPr>
        <w:t>basis based on encounter data</w:t>
      </w:r>
      <w:r w:rsidR="00CE1936">
        <w:rPr>
          <w:sz w:val="22"/>
          <w:szCs w:val="22"/>
        </w:rPr>
        <w:t>.</w:t>
      </w:r>
    </w:p>
    <w:p w14:paraId="26A86479" w14:textId="77777777" w:rsidR="00EE12B5" w:rsidRPr="00942BCF" w:rsidRDefault="00EE12B5" w:rsidP="00186079">
      <w:pPr>
        <w:spacing w:after="0"/>
        <w:rPr>
          <w:sz w:val="22"/>
          <w:szCs w:val="22"/>
        </w:rPr>
      </w:pPr>
    </w:p>
    <w:p w14:paraId="46925917" w14:textId="58374DFA" w:rsidR="005D0BAE" w:rsidRPr="00942BCF" w:rsidRDefault="00221F60" w:rsidP="005D0BAE">
      <w:pPr>
        <w:spacing w:after="0"/>
        <w:rPr>
          <w:sz w:val="22"/>
          <w:szCs w:val="22"/>
        </w:rPr>
      </w:pPr>
      <w:r w:rsidRPr="00942BCF">
        <w:rPr>
          <w:b/>
          <w:bCs/>
          <w:sz w:val="22"/>
          <w:szCs w:val="22"/>
          <w:u w:val="single"/>
        </w:rPr>
        <w:t xml:space="preserve">Reporting </w:t>
      </w:r>
    </w:p>
    <w:p w14:paraId="77709C52" w14:textId="40238D82" w:rsidR="005D0BAE" w:rsidRDefault="005D0BAE" w:rsidP="005D0BAE">
      <w:pPr>
        <w:spacing w:after="0"/>
        <w:rPr>
          <w:sz w:val="22"/>
          <w:szCs w:val="22"/>
        </w:rPr>
      </w:pPr>
      <w:r w:rsidRPr="00942BCF">
        <w:rPr>
          <w:sz w:val="22"/>
          <w:szCs w:val="22"/>
        </w:rPr>
        <w:t xml:space="preserve">The </w:t>
      </w:r>
      <w:r w:rsidRPr="000A3C8E">
        <w:rPr>
          <w:sz w:val="22"/>
          <w:szCs w:val="22"/>
        </w:rPr>
        <w:t xml:space="preserve">Network </w:t>
      </w:r>
      <w:r w:rsidR="00A17AD3">
        <w:rPr>
          <w:sz w:val="22"/>
          <w:szCs w:val="22"/>
        </w:rPr>
        <w:t>Adequacy</w:t>
      </w:r>
      <w:r w:rsidRPr="000A3C8E">
        <w:rPr>
          <w:sz w:val="22"/>
          <w:szCs w:val="22"/>
        </w:rPr>
        <w:t xml:space="preserve"> </w:t>
      </w:r>
      <w:r w:rsidR="00A17AD3">
        <w:rPr>
          <w:sz w:val="22"/>
          <w:szCs w:val="22"/>
        </w:rPr>
        <w:t>R</w:t>
      </w:r>
      <w:r w:rsidR="00623F9E" w:rsidRPr="000A3C8E">
        <w:rPr>
          <w:sz w:val="22"/>
          <w:szCs w:val="22"/>
        </w:rPr>
        <w:t>eport</w:t>
      </w:r>
      <w:r w:rsidR="00623F9E" w:rsidRPr="00942BCF">
        <w:rPr>
          <w:sz w:val="22"/>
          <w:szCs w:val="22"/>
        </w:rPr>
        <w:t xml:space="preserve"> </w:t>
      </w:r>
      <w:r w:rsidRPr="00942BCF">
        <w:rPr>
          <w:sz w:val="22"/>
          <w:szCs w:val="22"/>
        </w:rPr>
        <w:t>is due annually</w:t>
      </w:r>
      <w:r w:rsidR="00A2294A">
        <w:rPr>
          <w:sz w:val="22"/>
          <w:szCs w:val="22"/>
        </w:rPr>
        <w:t>.</w:t>
      </w:r>
      <w:r w:rsidRPr="00942BCF">
        <w:rPr>
          <w:sz w:val="22"/>
          <w:szCs w:val="22"/>
        </w:rPr>
        <w:t xml:space="preserve"> </w:t>
      </w:r>
      <w:r w:rsidR="006C72BB">
        <w:rPr>
          <w:sz w:val="22"/>
          <w:szCs w:val="22"/>
        </w:rPr>
        <w:t xml:space="preserve">The Network </w:t>
      </w:r>
      <w:r w:rsidR="00A17AD3">
        <w:rPr>
          <w:sz w:val="22"/>
          <w:szCs w:val="22"/>
        </w:rPr>
        <w:t xml:space="preserve">Adequacy Standards procedure document </w:t>
      </w:r>
      <w:r w:rsidR="006C72BB">
        <w:rPr>
          <w:sz w:val="22"/>
          <w:szCs w:val="22"/>
        </w:rPr>
        <w:t xml:space="preserve">will be provided to PIHPs in accordance with </w:t>
      </w:r>
      <w:r w:rsidR="006C72BB" w:rsidRPr="00D7355C">
        <w:rPr>
          <w:sz w:val="22"/>
          <w:szCs w:val="22"/>
        </w:rPr>
        <w:t>438.68(b)(3)</w:t>
      </w:r>
      <w:r w:rsidR="0013366E">
        <w:rPr>
          <w:sz w:val="22"/>
          <w:szCs w:val="22"/>
        </w:rPr>
        <w:t xml:space="preserve"> including</w:t>
      </w:r>
      <w:r w:rsidR="006A6ECD">
        <w:rPr>
          <w:sz w:val="22"/>
          <w:szCs w:val="22"/>
        </w:rPr>
        <w:t>,</w:t>
      </w:r>
      <w:r w:rsidR="0013366E">
        <w:rPr>
          <w:sz w:val="22"/>
          <w:szCs w:val="22"/>
        </w:rPr>
        <w:t xml:space="preserve"> but not limited to</w:t>
      </w:r>
      <w:r w:rsidR="00900E5A">
        <w:rPr>
          <w:sz w:val="22"/>
          <w:szCs w:val="22"/>
        </w:rPr>
        <w:t>,</w:t>
      </w:r>
      <w:r w:rsidR="0013366E">
        <w:rPr>
          <w:sz w:val="22"/>
          <w:szCs w:val="22"/>
        </w:rPr>
        <w:t xml:space="preserve"> </w:t>
      </w:r>
      <w:r w:rsidR="00623196">
        <w:rPr>
          <w:sz w:val="22"/>
          <w:szCs w:val="22"/>
        </w:rPr>
        <w:t xml:space="preserve">information on </w:t>
      </w:r>
      <w:r w:rsidR="0013366E">
        <w:rPr>
          <w:sz w:val="22"/>
          <w:szCs w:val="22"/>
        </w:rPr>
        <w:t xml:space="preserve">maximum time and distance, timely appointments and language, </w:t>
      </w:r>
      <w:r w:rsidR="00623196">
        <w:rPr>
          <w:sz w:val="22"/>
          <w:szCs w:val="22"/>
        </w:rPr>
        <w:t>c</w:t>
      </w:r>
      <w:r w:rsidR="0013366E">
        <w:rPr>
          <w:sz w:val="22"/>
          <w:szCs w:val="22"/>
        </w:rPr>
        <w:t xml:space="preserve">ultural </w:t>
      </w:r>
      <w:r w:rsidR="00623196">
        <w:rPr>
          <w:sz w:val="22"/>
          <w:szCs w:val="22"/>
        </w:rPr>
        <w:t>c</w:t>
      </w:r>
      <w:r w:rsidR="0013366E">
        <w:rPr>
          <w:sz w:val="22"/>
          <w:szCs w:val="22"/>
        </w:rPr>
        <w:t>ompetence</w:t>
      </w:r>
      <w:r w:rsidR="006769EE">
        <w:rPr>
          <w:sz w:val="22"/>
          <w:szCs w:val="22"/>
        </w:rPr>
        <w:t>,</w:t>
      </w:r>
      <w:r w:rsidR="0013366E">
        <w:rPr>
          <w:sz w:val="22"/>
          <w:szCs w:val="22"/>
        </w:rPr>
        <w:t xml:space="preserve"> and </w:t>
      </w:r>
      <w:r w:rsidR="00623196">
        <w:rPr>
          <w:sz w:val="22"/>
          <w:szCs w:val="22"/>
        </w:rPr>
        <w:t>p</w:t>
      </w:r>
      <w:r w:rsidR="0013366E">
        <w:rPr>
          <w:sz w:val="22"/>
          <w:szCs w:val="22"/>
        </w:rPr>
        <w:t xml:space="preserve">hysical </w:t>
      </w:r>
      <w:r w:rsidR="00623196">
        <w:rPr>
          <w:sz w:val="22"/>
          <w:szCs w:val="22"/>
        </w:rPr>
        <w:t>a</w:t>
      </w:r>
      <w:r w:rsidR="0013366E">
        <w:rPr>
          <w:sz w:val="22"/>
          <w:szCs w:val="22"/>
        </w:rPr>
        <w:t>ccessibility</w:t>
      </w:r>
      <w:r w:rsidR="006C72BB">
        <w:rPr>
          <w:sz w:val="22"/>
          <w:szCs w:val="22"/>
        </w:rPr>
        <w:t>.</w:t>
      </w:r>
    </w:p>
    <w:p w14:paraId="3739E228" w14:textId="77777777" w:rsidR="000A3C8E" w:rsidRDefault="000A3C8E" w:rsidP="002967F3">
      <w:pPr>
        <w:spacing w:after="0"/>
        <w:ind w:left="720"/>
        <w:rPr>
          <w:b/>
          <w:bCs/>
          <w:sz w:val="22"/>
          <w:szCs w:val="22"/>
        </w:rPr>
      </w:pPr>
    </w:p>
    <w:p w14:paraId="43E654CE" w14:textId="77777777" w:rsidR="00AF6DA8" w:rsidRDefault="00AF6DA8" w:rsidP="002967F3">
      <w:pPr>
        <w:spacing w:after="0"/>
        <w:ind w:left="720"/>
        <w:rPr>
          <w:b/>
          <w:bCs/>
          <w:sz w:val="22"/>
          <w:szCs w:val="22"/>
        </w:rPr>
      </w:pPr>
    </w:p>
    <w:p w14:paraId="01C94447" w14:textId="77777777" w:rsidR="00AF6DA8" w:rsidRDefault="00AF6DA8" w:rsidP="00803B3C">
      <w:pPr>
        <w:spacing w:after="0"/>
        <w:rPr>
          <w:b/>
          <w:bCs/>
          <w:sz w:val="22"/>
          <w:szCs w:val="22"/>
        </w:rPr>
      </w:pPr>
    </w:p>
    <w:p w14:paraId="536D66F8" w14:textId="4F3768E0" w:rsidR="00186079" w:rsidRDefault="0013366E" w:rsidP="00942BCF">
      <w:pPr>
        <w:spacing w:after="0"/>
        <w:ind w:left="720"/>
        <w:jc w:val="center"/>
        <w:rPr>
          <w:b/>
          <w:bCs/>
          <w:sz w:val="22"/>
          <w:szCs w:val="22"/>
        </w:rPr>
      </w:pPr>
      <w:r w:rsidRPr="00942BCF">
        <w:rPr>
          <w:b/>
          <w:bCs/>
          <w:sz w:val="22"/>
          <w:szCs w:val="22"/>
        </w:rPr>
        <w:t xml:space="preserve">Provider Definitions </w:t>
      </w:r>
    </w:p>
    <w:p w14:paraId="4F62F625" w14:textId="77777777" w:rsidR="00B73ACA" w:rsidRPr="00942BCF" w:rsidRDefault="00B73ACA" w:rsidP="00134589">
      <w:pPr>
        <w:spacing w:after="0"/>
        <w:ind w:left="720"/>
        <w:rPr>
          <w:strike/>
          <w:sz w:val="22"/>
          <w:szCs w:val="22"/>
        </w:rPr>
      </w:pPr>
    </w:p>
    <w:tbl>
      <w:tblPr>
        <w:tblStyle w:val="ListTable4-Accent1"/>
        <w:tblW w:w="9535" w:type="dxa"/>
        <w:tblLayout w:type="fixed"/>
        <w:tblLook w:val="01E0" w:firstRow="1" w:lastRow="1" w:firstColumn="1" w:lastColumn="1" w:noHBand="0" w:noVBand="0"/>
      </w:tblPr>
      <w:tblGrid>
        <w:gridCol w:w="4767"/>
        <w:gridCol w:w="4768"/>
      </w:tblGrid>
      <w:tr w:rsidR="00B64065" w:rsidRPr="001A1123" w14:paraId="79EC3505" w14:textId="77777777" w:rsidTr="00F24B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7" w:type="dxa"/>
          </w:tcPr>
          <w:p w14:paraId="27C60064" w14:textId="77777777" w:rsidR="001A1123" w:rsidRPr="001A1123" w:rsidRDefault="001A1123" w:rsidP="001A1123">
            <w:pPr>
              <w:spacing w:line="278" w:lineRule="auto"/>
              <w:rPr>
                <w:sz w:val="22"/>
                <w:szCs w:val="22"/>
              </w:rPr>
            </w:pPr>
            <w:r w:rsidRPr="001A1123">
              <w:rPr>
                <w:sz w:val="22"/>
                <w:szCs w:val="22"/>
              </w:rPr>
              <w:t xml:space="preserve">Services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68" w:type="dxa"/>
          </w:tcPr>
          <w:p w14:paraId="7209B831" w14:textId="77777777" w:rsidR="001A1123" w:rsidRPr="001A1123" w:rsidRDefault="001A1123" w:rsidP="001A1123">
            <w:pPr>
              <w:spacing w:line="278" w:lineRule="auto"/>
              <w:rPr>
                <w:sz w:val="22"/>
                <w:szCs w:val="22"/>
              </w:rPr>
            </w:pPr>
            <w:proofErr w:type="gramStart"/>
            <w:r w:rsidRPr="001A1123">
              <w:rPr>
                <w:sz w:val="22"/>
                <w:szCs w:val="22"/>
              </w:rPr>
              <w:t>Provider Ratio</w:t>
            </w:r>
            <w:proofErr w:type="gramEnd"/>
            <w:r w:rsidRPr="001A1123">
              <w:rPr>
                <w:sz w:val="22"/>
                <w:szCs w:val="22"/>
              </w:rPr>
              <w:t xml:space="preserve"> Defined:</w:t>
            </w:r>
          </w:p>
        </w:tc>
      </w:tr>
      <w:tr w:rsidR="001A1123" w:rsidRPr="001A1123" w14:paraId="13A6A4EF" w14:textId="77777777" w:rsidTr="00F24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7" w:type="dxa"/>
          </w:tcPr>
          <w:p w14:paraId="75BAFF84" w14:textId="77777777" w:rsidR="001A1123" w:rsidRPr="001A1123" w:rsidRDefault="001A1123" w:rsidP="001A1123">
            <w:pPr>
              <w:spacing w:line="278" w:lineRule="auto"/>
              <w:rPr>
                <w:sz w:val="22"/>
                <w:szCs w:val="22"/>
              </w:rPr>
            </w:pPr>
            <w:r w:rsidRPr="001A1123">
              <w:rPr>
                <w:sz w:val="22"/>
                <w:szCs w:val="22"/>
              </w:rPr>
              <w:t>Assertive Community Treatment (H0039)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68" w:type="dxa"/>
          </w:tcPr>
          <w:p w14:paraId="21E97127" w14:textId="0736351D" w:rsidR="001A1123" w:rsidRPr="001A1123" w:rsidRDefault="00EE3C1D" w:rsidP="001A1123">
            <w:pPr>
              <w:spacing w:line="2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ACT </w:t>
            </w:r>
            <w:r w:rsidR="001A1123" w:rsidRPr="001A1123">
              <w:rPr>
                <w:sz w:val="22"/>
                <w:szCs w:val="22"/>
              </w:rPr>
              <w:t xml:space="preserve">Team </w:t>
            </w:r>
          </w:p>
        </w:tc>
      </w:tr>
      <w:tr w:rsidR="001A1123" w:rsidRPr="001A1123" w14:paraId="08918028" w14:textId="77777777" w:rsidTr="00F24BA2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7" w:type="dxa"/>
          </w:tcPr>
          <w:p w14:paraId="7B122E67" w14:textId="2EA27F3B" w:rsidR="001A1123" w:rsidRPr="001A1123" w:rsidRDefault="001A1123" w:rsidP="001A1123">
            <w:pPr>
              <w:spacing w:line="278" w:lineRule="auto"/>
              <w:rPr>
                <w:sz w:val="22"/>
                <w:szCs w:val="22"/>
              </w:rPr>
            </w:pPr>
            <w:r w:rsidRPr="001A1123">
              <w:rPr>
                <w:sz w:val="22"/>
                <w:szCs w:val="22"/>
              </w:rPr>
              <w:t>Crisis Residential Programs (H</w:t>
            </w:r>
            <w:r w:rsidR="00D263EE" w:rsidRPr="001A1123">
              <w:rPr>
                <w:sz w:val="22"/>
                <w:szCs w:val="22"/>
              </w:rPr>
              <w:t>0018)</w:t>
            </w:r>
            <w:r w:rsidR="00D263EE">
              <w:rPr>
                <w:sz w:val="22"/>
                <w:szCs w:val="22"/>
              </w:rPr>
              <w:t xml:space="preserve"> 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68" w:type="dxa"/>
          </w:tcPr>
          <w:p w14:paraId="038B0D7F" w14:textId="0DE920F2" w:rsidR="001A1123" w:rsidRPr="001A1123" w:rsidRDefault="001A1123" w:rsidP="001A1123">
            <w:pPr>
              <w:spacing w:line="278" w:lineRule="auto"/>
              <w:rPr>
                <w:sz w:val="22"/>
                <w:szCs w:val="22"/>
              </w:rPr>
            </w:pPr>
            <w:r w:rsidRPr="001A1123">
              <w:rPr>
                <w:sz w:val="22"/>
                <w:szCs w:val="22"/>
              </w:rPr>
              <w:t>Bed Count</w:t>
            </w:r>
          </w:p>
        </w:tc>
      </w:tr>
      <w:tr w:rsidR="001A1123" w:rsidRPr="001A1123" w14:paraId="196E69E5" w14:textId="77777777" w:rsidTr="00F24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7" w:type="dxa"/>
          </w:tcPr>
          <w:p w14:paraId="50EE28CA" w14:textId="77777777" w:rsidR="001A1123" w:rsidRPr="001A1123" w:rsidRDefault="001A1123" w:rsidP="001A1123">
            <w:pPr>
              <w:spacing w:line="278" w:lineRule="auto"/>
              <w:rPr>
                <w:sz w:val="22"/>
                <w:szCs w:val="22"/>
              </w:rPr>
            </w:pPr>
            <w:r w:rsidRPr="001A1123">
              <w:rPr>
                <w:sz w:val="22"/>
                <w:szCs w:val="22"/>
              </w:rPr>
              <w:t>Opioid Treatment Programs (H0020)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68" w:type="dxa"/>
          </w:tcPr>
          <w:p w14:paraId="5B9FB84E" w14:textId="77777777" w:rsidR="001A1123" w:rsidRPr="001A1123" w:rsidRDefault="001A1123" w:rsidP="001A1123">
            <w:pPr>
              <w:spacing w:line="278" w:lineRule="auto"/>
              <w:rPr>
                <w:sz w:val="22"/>
                <w:szCs w:val="22"/>
              </w:rPr>
            </w:pPr>
            <w:r w:rsidRPr="001A1123">
              <w:rPr>
                <w:sz w:val="22"/>
                <w:szCs w:val="22"/>
              </w:rPr>
              <w:t>Provider Sites</w:t>
            </w:r>
          </w:p>
        </w:tc>
      </w:tr>
      <w:tr w:rsidR="001A1123" w:rsidRPr="001A1123" w14:paraId="6CD3935D" w14:textId="77777777" w:rsidTr="00F24BA2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7" w:type="dxa"/>
          </w:tcPr>
          <w:p w14:paraId="3BE13CB3" w14:textId="77777777" w:rsidR="001A1123" w:rsidRPr="001A1123" w:rsidRDefault="001A1123" w:rsidP="001A1123">
            <w:pPr>
              <w:spacing w:line="278" w:lineRule="auto"/>
              <w:rPr>
                <w:sz w:val="22"/>
                <w:szCs w:val="22"/>
              </w:rPr>
            </w:pPr>
            <w:r w:rsidRPr="001A1123">
              <w:rPr>
                <w:sz w:val="22"/>
                <w:szCs w:val="22"/>
              </w:rPr>
              <w:t>Psychosocial Rehabilitation Programs (Clubhouses) (H2030)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68" w:type="dxa"/>
          </w:tcPr>
          <w:p w14:paraId="4AE275F2" w14:textId="77777777" w:rsidR="001A1123" w:rsidRPr="001A1123" w:rsidRDefault="001A1123" w:rsidP="001A1123">
            <w:pPr>
              <w:spacing w:line="278" w:lineRule="auto"/>
              <w:rPr>
                <w:sz w:val="22"/>
                <w:szCs w:val="22"/>
              </w:rPr>
            </w:pPr>
            <w:r w:rsidRPr="001A1123">
              <w:rPr>
                <w:sz w:val="22"/>
                <w:szCs w:val="22"/>
              </w:rPr>
              <w:t>Facilities/Programs</w:t>
            </w:r>
          </w:p>
        </w:tc>
      </w:tr>
      <w:tr w:rsidR="001A1123" w:rsidRPr="001A1123" w14:paraId="3A1F3E4B" w14:textId="77777777" w:rsidTr="00F24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7" w:type="dxa"/>
          </w:tcPr>
          <w:p w14:paraId="0BC93772" w14:textId="77777777" w:rsidR="001A1123" w:rsidRPr="001A1123" w:rsidRDefault="001A1123" w:rsidP="001A1123">
            <w:pPr>
              <w:spacing w:line="278" w:lineRule="auto"/>
              <w:rPr>
                <w:sz w:val="22"/>
                <w:szCs w:val="22"/>
              </w:rPr>
            </w:pPr>
            <w:r w:rsidRPr="001A1123">
              <w:rPr>
                <w:sz w:val="22"/>
                <w:szCs w:val="22"/>
              </w:rPr>
              <w:t>Inpatient Psychiatric (0100, 0114, 0124, 0134, 0154)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68" w:type="dxa"/>
          </w:tcPr>
          <w:p w14:paraId="4160D02E" w14:textId="77777777" w:rsidR="001A1123" w:rsidRPr="001A1123" w:rsidRDefault="001A1123" w:rsidP="001A1123">
            <w:pPr>
              <w:spacing w:line="278" w:lineRule="auto"/>
              <w:rPr>
                <w:sz w:val="22"/>
                <w:szCs w:val="22"/>
              </w:rPr>
            </w:pPr>
            <w:r w:rsidRPr="001A1123">
              <w:rPr>
                <w:sz w:val="22"/>
                <w:szCs w:val="22"/>
              </w:rPr>
              <w:t>Facilities/Sites</w:t>
            </w:r>
          </w:p>
        </w:tc>
      </w:tr>
      <w:tr w:rsidR="001A1123" w:rsidRPr="001A1123" w14:paraId="7CAEF05A" w14:textId="77777777" w:rsidTr="00F24BA2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7" w:type="dxa"/>
          </w:tcPr>
          <w:p w14:paraId="5BA584F5" w14:textId="77777777" w:rsidR="001A1123" w:rsidRPr="001A1123" w:rsidRDefault="001A1123" w:rsidP="001A1123">
            <w:pPr>
              <w:spacing w:line="278" w:lineRule="auto"/>
              <w:rPr>
                <w:sz w:val="22"/>
                <w:szCs w:val="22"/>
              </w:rPr>
            </w:pPr>
            <w:r w:rsidRPr="001A1123">
              <w:rPr>
                <w:sz w:val="22"/>
                <w:szCs w:val="22"/>
              </w:rPr>
              <w:t xml:space="preserve">Community Living Supports (H2015)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68" w:type="dxa"/>
          </w:tcPr>
          <w:p w14:paraId="77EA904E" w14:textId="3E31B430" w:rsidR="001A1123" w:rsidRPr="001A1123" w:rsidRDefault="001A1123" w:rsidP="001A1123">
            <w:pPr>
              <w:spacing w:line="278" w:lineRule="auto"/>
              <w:rPr>
                <w:sz w:val="22"/>
                <w:szCs w:val="22"/>
              </w:rPr>
            </w:pPr>
            <w:r w:rsidRPr="001A1123">
              <w:rPr>
                <w:sz w:val="22"/>
                <w:szCs w:val="22"/>
              </w:rPr>
              <w:t>D</w:t>
            </w:r>
            <w:r w:rsidR="00B91D98">
              <w:rPr>
                <w:sz w:val="22"/>
                <w:szCs w:val="22"/>
              </w:rPr>
              <w:t xml:space="preserve">irect Care Worker </w:t>
            </w:r>
          </w:p>
        </w:tc>
      </w:tr>
      <w:tr w:rsidR="001A1123" w:rsidRPr="001A1123" w14:paraId="0DA7AC43" w14:textId="77777777" w:rsidTr="00F24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7" w:type="dxa"/>
          </w:tcPr>
          <w:p w14:paraId="5E479BD0" w14:textId="77777777" w:rsidR="001A1123" w:rsidRPr="001A1123" w:rsidRDefault="001A1123" w:rsidP="001A1123">
            <w:pPr>
              <w:spacing w:line="278" w:lineRule="auto"/>
              <w:rPr>
                <w:sz w:val="22"/>
                <w:szCs w:val="22"/>
              </w:rPr>
            </w:pPr>
            <w:r w:rsidRPr="001A1123">
              <w:rPr>
                <w:sz w:val="22"/>
                <w:szCs w:val="22"/>
              </w:rPr>
              <w:t xml:space="preserve">Skill Building (H2014)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68" w:type="dxa"/>
          </w:tcPr>
          <w:p w14:paraId="7C3162C9" w14:textId="325722A9" w:rsidR="001A1123" w:rsidRPr="001A1123" w:rsidRDefault="00B91D98" w:rsidP="001A1123">
            <w:pPr>
              <w:spacing w:line="2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Direct Care Worker  </w:t>
            </w:r>
          </w:p>
        </w:tc>
      </w:tr>
      <w:tr w:rsidR="001A1123" w:rsidRPr="001A1123" w14:paraId="1B1E0292" w14:textId="77777777" w:rsidTr="00F24BA2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7" w:type="dxa"/>
          </w:tcPr>
          <w:p w14:paraId="748847E6" w14:textId="183F8BFB" w:rsidR="001A1123" w:rsidRPr="001A1123" w:rsidRDefault="001A1123" w:rsidP="001A1123">
            <w:pPr>
              <w:spacing w:line="278" w:lineRule="auto"/>
              <w:rPr>
                <w:sz w:val="22"/>
                <w:szCs w:val="22"/>
              </w:rPr>
            </w:pPr>
            <w:r w:rsidRPr="001A1123">
              <w:rPr>
                <w:sz w:val="22"/>
                <w:szCs w:val="22"/>
              </w:rPr>
              <w:t>Home-Based Services (H0036)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68" w:type="dxa"/>
          </w:tcPr>
          <w:p w14:paraId="2B3B4049" w14:textId="03B7CD9E" w:rsidR="001A1123" w:rsidRPr="001A1123" w:rsidRDefault="001A1123" w:rsidP="001A1123">
            <w:pPr>
              <w:spacing w:line="278" w:lineRule="auto"/>
              <w:rPr>
                <w:sz w:val="22"/>
                <w:szCs w:val="22"/>
              </w:rPr>
            </w:pPr>
            <w:r w:rsidRPr="001A1123">
              <w:rPr>
                <w:sz w:val="22"/>
                <w:szCs w:val="22"/>
              </w:rPr>
              <w:t>Home-Based Therapist</w:t>
            </w:r>
          </w:p>
        </w:tc>
      </w:tr>
      <w:tr w:rsidR="001A1123" w:rsidRPr="001A1123" w14:paraId="58AEBA4F" w14:textId="77777777" w:rsidTr="00F24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7" w:type="dxa"/>
          </w:tcPr>
          <w:p w14:paraId="69554A8B" w14:textId="13B6998E" w:rsidR="001A1123" w:rsidRPr="001A1123" w:rsidRDefault="007D4C1D" w:rsidP="001A1123">
            <w:pPr>
              <w:spacing w:line="2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ICCW</w:t>
            </w:r>
            <w:r w:rsidR="001A1123" w:rsidRPr="001A1123">
              <w:rPr>
                <w:sz w:val="22"/>
                <w:szCs w:val="22"/>
              </w:rPr>
              <w:t xml:space="preserve"> (H2021)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68" w:type="dxa"/>
          </w:tcPr>
          <w:p w14:paraId="0819967C" w14:textId="3B79DCA8" w:rsidR="001A1123" w:rsidRPr="001A1123" w:rsidRDefault="00B91D98" w:rsidP="001A1123">
            <w:pPr>
              <w:spacing w:line="2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Care Coordinator  </w:t>
            </w:r>
          </w:p>
        </w:tc>
      </w:tr>
      <w:tr w:rsidR="001A1123" w:rsidRPr="001A1123" w14:paraId="6B8ABB2A" w14:textId="77777777" w:rsidTr="00F24BA2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7" w:type="dxa"/>
          </w:tcPr>
          <w:p w14:paraId="422E496F" w14:textId="77777777" w:rsidR="001A1123" w:rsidRPr="001A1123" w:rsidRDefault="001A1123" w:rsidP="001A1123">
            <w:pPr>
              <w:spacing w:line="278" w:lineRule="auto"/>
              <w:rPr>
                <w:sz w:val="22"/>
                <w:szCs w:val="22"/>
              </w:rPr>
            </w:pPr>
            <w:r w:rsidRPr="001A1123">
              <w:rPr>
                <w:sz w:val="22"/>
                <w:szCs w:val="22"/>
              </w:rPr>
              <w:t>Intensive Crisis Stabilization Services for Children (Mobile Response with two-person team) H2011HT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68" w:type="dxa"/>
          </w:tcPr>
          <w:p w14:paraId="04C3EDE9" w14:textId="593CA84B" w:rsidR="001A1123" w:rsidRPr="001A1123" w:rsidRDefault="000A06BE" w:rsidP="001A1123">
            <w:pPr>
              <w:spacing w:line="2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Qualified Provider </w:t>
            </w:r>
          </w:p>
        </w:tc>
      </w:tr>
      <w:tr w:rsidR="001A1123" w:rsidRPr="001A1123" w14:paraId="6398F227" w14:textId="77777777" w:rsidTr="00F24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7" w:type="dxa"/>
          </w:tcPr>
          <w:p w14:paraId="443B2AF3" w14:textId="77777777" w:rsidR="001A1123" w:rsidRPr="001A1123" w:rsidRDefault="001A1123" w:rsidP="001A1123">
            <w:pPr>
              <w:spacing w:line="278" w:lineRule="auto"/>
              <w:rPr>
                <w:sz w:val="22"/>
                <w:szCs w:val="22"/>
              </w:rPr>
            </w:pPr>
            <w:r w:rsidRPr="001A1123">
              <w:rPr>
                <w:sz w:val="22"/>
                <w:szCs w:val="22"/>
              </w:rPr>
              <w:t>Respite Services (T1005, H0045, S5151)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68" w:type="dxa"/>
          </w:tcPr>
          <w:p w14:paraId="2CEB8D50" w14:textId="2740087B" w:rsidR="001A1123" w:rsidRPr="001A1123" w:rsidRDefault="001A1123" w:rsidP="001A1123">
            <w:pPr>
              <w:spacing w:line="278" w:lineRule="auto"/>
              <w:rPr>
                <w:sz w:val="22"/>
                <w:szCs w:val="22"/>
              </w:rPr>
            </w:pPr>
            <w:r w:rsidRPr="001A1123">
              <w:rPr>
                <w:sz w:val="22"/>
                <w:szCs w:val="22"/>
              </w:rPr>
              <w:t>D</w:t>
            </w:r>
            <w:r w:rsidR="00B91D98">
              <w:rPr>
                <w:sz w:val="22"/>
                <w:szCs w:val="22"/>
              </w:rPr>
              <w:t xml:space="preserve">irect Care Worker </w:t>
            </w:r>
          </w:p>
        </w:tc>
      </w:tr>
      <w:tr w:rsidR="001A1123" w:rsidRPr="001A1123" w14:paraId="2EA3A29D" w14:textId="77777777" w:rsidTr="00F24BA2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7" w:type="dxa"/>
          </w:tcPr>
          <w:p w14:paraId="7D8EB5EE" w14:textId="77777777" w:rsidR="001A1123" w:rsidRPr="001A1123" w:rsidRDefault="001A1123" w:rsidP="001A1123">
            <w:pPr>
              <w:spacing w:line="278" w:lineRule="auto"/>
              <w:rPr>
                <w:sz w:val="22"/>
                <w:szCs w:val="22"/>
              </w:rPr>
            </w:pPr>
            <w:r w:rsidRPr="001A1123">
              <w:rPr>
                <w:sz w:val="22"/>
                <w:szCs w:val="22"/>
              </w:rPr>
              <w:t>Parent Support Partners (S5111-WP)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68" w:type="dxa"/>
          </w:tcPr>
          <w:p w14:paraId="66E65DA6" w14:textId="30F00212" w:rsidR="001A1123" w:rsidRPr="001A1123" w:rsidRDefault="001A1123" w:rsidP="001A1123">
            <w:pPr>
              <w:spacing w:line="278" w:lineRule="auto"/>
              <w:rPr>
                <w:sz w:val="22"/>
                <w:szCs w:val="22"/>
              </w:rPr>
            </w:pPr>
            <w:r w:rsidRPr="001A1123">
              <w:rPr>
                <w:sz w:val="22"/>
                <w:szCs w:val="22"/>
              </w:rPr>
              <w:t>Trained Parent</w:t>
            </w:r>
          </w:p>
        </w:tc>
      </w:tr>
      <w:tr w:rsidR="001A1123" w:rsidRPr="001A1123" w14:paraId="3A86487C" w14:textId="77777777" w:rsidTr="00F24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7" w:type="dxa"/>
          </w:tcPr>
          <w:p w14:paraId="56A23DCC" w14:textId="77777777" w:rsidR="001A1123" w:rsidRPr="001A1123" w:rsidRDefault="001A1123" w:rsidP="001A1123">
            <w:pPr>
              <w:spacing w:line="278" w:lineRule="auto"/>
              <w:rPr>
                <w:sz w:val="22"/>
                <w:szCs w:val="22"/>
              </w:rPr>
            </w:pPr>
            <w:r w:rsidRPr="001A1123">
              <w:rPr>
                <w:sz w:val="22"/>
                <w:szCs w:val="22"/>
              </w:rPr>
              <w:t xml:space="preserve">Youth Peer Supports (H0038-WT)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68" w:type="dxa"/>
          </w:tcPr>
          <w:p w14:paraId="29299001" w14:textId="04168043" w:rsidR="001A1123" w:rsidRPr="001A1123" w:rsidRDefault="001A1123" w:rsidP="001A1123">
            <w:pPr>
              <w:spacing w:line="278" w:lineRule="auto"/>
              <w:rPr>
                <w:sz w:val="22"/>
                <w:szCs w:val="22"/>
              </w:rPr>
            </w:pPr>
            <w:r w:rsidRPr="001A1123">
              <w:rPr>
                <w:sz w:val="22"/>
                <w:szCs w:val="22"/>
              </w:rPr>
              <w:t>Trained Young Adult</w:t>
            </w:r>
          </w:p>
        </w:tc>
      </w:tr>
      <w:tr w:rsidR="001A1123" w:rsidRPr="001A1123" w14:paraId="209D27BC" w14:textId="77777777" w:rsidTr="00F24BA2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7" w:type="dxa"/>
          </w:tcPr>
          <w:p w14:paraId="4C9799E2" w14:textId="0E1DB1F0" w:rsidR="001A1123" w:rsidRPr="001A1123" w:rsidRDefault="001A1123" w:rsidP="001A1123">
            <w:pPr>
              <w:spacing w:line="278" w:lineRule="auto"/>
              <w:rPr>
                <w:sz w:val="22"/>
                <w:szCs w:val="22"/>
              </w:rPr>
            </w:pPr>
            <w:r w:rsidRPr="001A1123">
              <w:rPr>
                <w:sz w:val="22"/>
                <w:szCs w:val="22"/>
              </w:rPr>
              <w:t xml:space="preserve">Autism Service Evaluations (90791, 90792, 96110, 96112, 96113, 96127, 96116, 96121, 96130, 96131, </w:t>
            </w:r>
            <w:proofErr w:type="gramStart"/>
            <w:r w:rsidRPr="001A1123">
              <w:rPr>
                <w:sz w:val="22"/>
                <w:szCs w:val="22"/>
              </w:rPr>
              <w:t>96132, 96133, 96136, 96137, 96138</w:t>
            </w:r>
            <w:proofErr w:type="gramEnd"/>
            <w:r w:rsidRPr="001A1123">
              <w:rPr>
                <w:sz w:val="22"/>
                <w:szCs w:val="22"/>
              </w:rPr>
              <w:t xml:space="preserve">, 96139, </w:t>
            </w:r>
            <w:r w:rsidR="00A330CB" w:rsidRPr="00A330CB">
              <w:rPr>
                <w:sz w:val="22"/>
                <w:szCs w:val="22"/>
              </w:rPr>
              <w:t>96146</w:t>
            </w:r>
            <w:r w:rsidR="00A330CB">
              <w:rPr>
                <w:sz w:val="22"/>
                <w:szCs w:val="22"/>
              </w:rPr>
              <w:t xml:space="preserve">, </w:t>
            </w:r>
            <w:r w:rsidRPr="001A1123">
              <w:rPr>
                <w:sz w:val="22"/>
                <w:szCs w:val="22"/>
              </w:rPr>
              <w:t>H0031)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68" w:type="dxa"/>
          </w:tcPr>
          <w:p w14:paraId="6EF74EF6" w14:textId="1A72E9D3" w:rsidR="001A1123" w:rsidRPr="001A1123" w:rsidRDefault="001A1123" w:rsidP="001A1123">
            <w:pPr>
              <w:spacing w:line="278" w:lineRule="auto"/>
              <w:rPr>
                <w:sz w:val="22"/>
                <w:szCs w:val="22"/>
              </w:rPr>
            </w:pPr>
            <w:r w:rsidRPr="001A1123">
              <w:rPr>
                <w:sz w:val="22"/>
                <w:szCs w:val="22"/>
              </w:rPr>
              <w:t>Qualified Practitioners/Clinicians performing evaluations</w:t>
            </w:r>
          </w:p>
        </w:tc>
      </w:tr>
      <w:tr w:rsidR="001A1123" w:rsidRPr="001A1123" w14:paraId="080C374F" w14:textId="77777777" w:rsidTr="00F24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7" w:type="dxa"/>
          </w:tcPr>
          <w:p w14:paraId="480A0E38" w14:textId="77777777" w:rsidR="001A1123" w:rsidRPr="001A1123" w:rsidRDefault="001A1123" w:rsidP="001A1123">
            <w:pPr>
              <w:spacing w:line="278" w:lineRule="auto"/>
              <w:rPr>
                <w:sz w:val="22"/>
                <w:szCs w:val="22"/>
              </w:rPr>
            </w:pPr>
            <w:r w:rsidRPr="001A1123">
              <w:rPr>
                <w:sz w:val="22"/>
                <w:szCs w:val="22"/>
              </w:rPr>
              <w:t>Autism Services (97153, 97154)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68" w:type="dxa"/>
          </w:tcPr>
          <w:p w14:paraId="44D059A7" w14:textId="72A8F741" w:rsidR="001A1123" w:rsidRPr="001A1123" w:rsidRDefault="001A1123" w:rsidP="001A1123">
            <w:pPr>
              <w:spacing w:line="278" w:lineRule="auto"/>
              <w:rPr>
                <w:sz w:val="22"/>
                <w:szCs w:val="22"/>
              </w:rPr>
            </w:pPr>
            <w:r w:rsidRPr="001A1123">
              <w:rPr>
                <w:sz w:val="22"/>
                <w:szCs w:val="22"/>
              </w:rPr>
              <w:t xml:space="preserve">Behavior </w:t>
            </w:r>
            <w:r w:rsidR="005646EA" w:rsidRPr="001A1123">
              <w:rPr>
                <w:sz w:val="22"/>
                <w:szCs w:val="22"/>
              </w:rPr>
              <w:t>Technician</w:t>
            </w:r>
            <w:r w:rsidRPr="001A1123">
              <w:rPr>
                <w:sz w:val="22"/>
                <w:szCs w:val="22"/>
              </w:rPr>
              <w:t>, Licensed Behavior Analyst, Licensed Assistant Behavior Analyst</w:t>
            </w:r>
          </w:p>
        </w:tc>
      </w:tr>
      <w:tr w:rsidR="00B64065" w:rsidRPr="001A1123" w14:paraId="48E6D9E2" w14:textId="77777777" w:rsidTr="00F24BA2">
        <w:trPr>
          <w:trHeight w:val="7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7" w:type="dxa"/>
          </w:tcPr>
          <w:p w14:paraId="57B28ACB" w14:textId="77777777" w:rsidR="001A1123" w:rsidRPr="001A1123" w:rsidRDefault="001A1123" w:rsidP="001A1123">
            <w:pPr>
              <w:spacing w:line="278" w:lineRule="auto"/>
              <w:rPr>
                <w:sz w:val="22"/>
                <w:szCs w:val="22"/>
              </w:rPr>
            </w:pPr>
            <w:r w:rsidRPr="001A1123">
              <w:rPr>
                <w:sz w:val="22"/>
                <w:szCs w:val="22"/>
              </w:rPr>
              <w:t>Autism Services (97151, 97155, 97156, 97157, 97158, 0373T)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68" w:type="dxa"/>
          </w:tcPr>
          <w:p w14:paraId="77837751" w14:textId="77777777" w:rsidR="001A1123" w:rsidRPr="001A1123" w:rsidRDefault="001A1123" w:rsidP="001A1123">
            <w:pPr>
              <w:spacing w:line="278" w:lineRule="auto"/>
              <w:rPr>
                <w:sz w:val="22"/>
                <w:szCs w:val="22"/>
              </w:rPr>
            </w:pPr>
            <w:r w:rsidRPr="001A1123">
              <w:rPr>
                <w:sz w:val="22"/>
                <w:szCs w:val="22"/>
              </w:rPr>
              <w:t>Licensed Behavior Analyst</w:t>
            </w:r>
          </w:p>
          <w:p w14:paraId="09855C02" w14:textId="77777777" w:rsidR="001A1123" w:rsidRPr="001A1123" w:rsidRDefault="001A1123" w:rsidP="001A1123">
            <w:pPr>
              <w:spacing w:line="278" w:lineRule="auto"/>
              <w:rPr>
                <w:sz w:val="22"/>
                <w:szCs w:val="22"/>
              </w:rPr>
            </w:pPr>
            <w:r w:rsidRPr="001A1123">
              <w:rPr>
                <w:sz w:val="22"/>
                <w:szCs w:val="22"/>
              </w:rPr>
              <w:t>Licensed Assistant Behavior Analyst</w:t>
            </w:r>
          </w:p>
          <w:p w14:paraId="5C277CAF" w14:textId="77777777" w:rsidR="001A1123" w:rsidRPr="001A1123" w:rsidRDefault="001A1123" w:rsidP="001A1123">
            <w:pPr>
              <w:spacing w:line="278" w:lineRule="auto"/>
              <w:rPr>
                <w:sz w:val="22"/>
                <w:szCs w:val="22"/>
              </w:rPr>
            </w:pPr>
          </w:p>
        </w:tc>
      </w:tr>
      <w:tr w:rsidR="007214BD" w:rsidRPr="001A1123" w14:paraId="2A53AF18" w14:textId="77777777" w:rsidTr="00F24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7" w:type="dxa"/>
          </w:tcPr>
          <w:p w14:paraId="2C8B440E" w14:textId="78A92362" w:rsidR="007214BD" w:rsidRPr="001A1123" w:rsidRDefault="007214BD" w:rsidP="001A11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Partial Hospitalization Programs (0912/0913)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68" w:type="dxa"/>
          </w:tcPr>
          <w:p w14:paraId="75BE8DD2" w14:textId="60860259" w:rsidR="007214BD" w:rsidRPr="001A1123" w:rsidRDefault="007214BD" w:rsidP="001A11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Sites/Facilities</w:t>
            </w:r>
          </w:p>
        </w:tc>
      </w:tr>
      <w:tr w:rsidR="00623196" w:rsidRPr="001A1123" w14:paraId="44B2A2AF" w14:textId="77777777" w:rsidTr="00F24BA2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7" w:type="dxa"/>
          </w:tcPr>
          <w:p w14:paraId="31EE0CF6" w14:textId="31C72C6A" w:rsidR="00623196" w:rsidRDefault="00623196" w:rsidP="001A11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Pre-Admission Screen (T1023)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68" w:type="dxa"/>
          </w:tcPr>
          <w:p w14:paraId="14741768" w14:textId="6C040E64" w:rsidR="00623196" w:rsidRDefault="00F73C00" w:rsidP="001A11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Qualified Provider</w:t>
            </w:r>
          </w:p>
        </w:tc>
      </w:tr>
      <w:tr w:rsidR="00A17AD3" w:rsidRPr="001A1123" w14:paraId="7ACAF060" w14:textId="77777777" w:rsidTr="00F24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7" w:type="dxa"/>
          </w:tcPr>
          <w:p w14:paraId="6E4B999F" w14:textId="4BEB2556" w:rsidR="00A17AD3" w:rsidRDefault="00A17AD3" w:rsidP="00A17A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Targeted Case Management (T1017)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68" w:type="dxa"/>
          </w:tcPr>
          <w:p w14:paraId="65514B84" w14:textId="1704447D" w:rsidR="00A17AD3" w:rsidRDefault="00A17AD3" w:rsidP="00A17A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Case Manager</w:t>
            </w:r>
          </w:p>
        </w:tc>
      </w:tr>
      <w:tr w:rsidR="00AA603D" w:rsidRPr="001A1123" w14:paraId="351F2FCF" w14:textId="77777777" w:rsidTr="00F24BA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7" w:type="dxa"/>
          </w:tcPr>
          <w:p w14:paraId="1A41CB4D" w14:textId="3BB9BE10" w:rsidR="00AA603D" w:rsidRDefault="00AA603D" w:rsidP="00A17A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Outpatient Clinical Mental Health</w:t>
            </w:r>
            <w:r w:rsidR="008460D6">
              <w:rPr>
                <w:sz w:val="22"/>
                <w:szCs w:val="22"/>
              </w:rPr>
              <w:t xml:space="preserve"> (</w:t>
            </w:r>
            <w:r w:rsidR="008460D6" w:rsidRPr="00AF6AA1">
              <w:t>90832</w:t>
            </w:r>
            <w:r w:rsidR="008460D6">
              <w:t>, 9083</w:t>
            </w:r>
            <w:r w:rsidR="00D84A40">
              <w:t>4</w:t>
            </w:r>
            <w:r w:rsidR="008460D6">
              <w:t>, 9083</w:t>
            </w:r>
            <w:r w:rsidR="00D84A40">
              <w:t>7</w:t>
            </w:r>
            <w:r w:rsidR="008460D6"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68" w:type="dxa"/>
          </w:tcPr>
          <w:p w14:paraId="69211493" w14:textId="77DDDD3A" w:rsidR="00AA603D" w:rsidRDefault="008460D6" w:rsidP="00A17A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Qualified Provider</w:t>
            </w:r>
          </w:p>
        </w:tc>
      </w:tr>
    </w:tbl>
    <w:p w14:paraId="63BB1DCC" w14:textId="6BFB9057" w:rsidR="007214BD" w:rsidRDefault="00FB4C46" w:rsidP="001A1123">
      <w:pPr>
        <w:spacing w:after="0"/>
        <w:rPr>
          <w:sz w:val="22"/>
          <w:szCs w:val="22"/>
        </w:rPr>
      </w:pPr>
      <w:r>
        <w:rPr>
          <w:sz w:val="22"/>
          <w:szCs w:val="22"/>
        </w:rPr>
        <w:t>*</w:t>
      </w:r>
      <w:r w:rsidR="007214BD">
        <w:rPr>
          <w:sz w:val="22"/>
          <w:szCs w:val="22"/>
        </w:rPr>
        <w:t xml:space="preserve">Crisis Residential does not include Substance Use </w:t>
      </w:r>
      <w:r w:rsidR="00F65F74">
        <w:rPr>
          <w:sz w:val="22"/>
          <w:szCs w:val="22"/>
        </w:rPr>
        <w:t xml:space="preserve">Treatment </w:t>
      </w:r>
      <w:r w:rsidR="007214BD">
        <w:rPr>
          <w:sz w:val="22"/>
          <w:szCs w:val="22"/>
        </w:rPr>
        <w:t>Residential Beds.</w:t>
      </w:r>
    </w:p>
    <w:p w14:paraId="2D96AD80" w14:textId="77777777" w:rsidR="00FB4C46" w:rsidRDefault="00FB4C46" w:rsidP="001A1123">
      <w:pPr>
        <w:spacing w:after="0"/>
        <w:rPr>
          <w:sz w:val="22"/>
          <w:szCs w:val="22"/>
        </w:rPr>
      </w:pPr>
    </w:p>
    <w:p w14:paraId="02DCABB9" w14:textId="77777777" w:rsidR="00FB4C46" w:rsidRPr="001A1123" w:rsidRDefault="00FB4C46" w:rsidP="001A1123">
      <w:pPr>
        <w:spacing w:after="0"/>
        <w:rPr>
          <w:sz w:val="22"/>
          <w:szCs w:val="22"/>
        </w:rPr>
      </w:pPr>
    </w:p>
    <w:p w14:paraId="3977EA0E" w14:textId="77777777" w:rsidR="00D77692" w:rsidRDefault="00D77692" w:rsidP="005D0BAE">
      <w:pPr>
        <w:spacing w:after="0"/>
        <w:rPr>
          <w:sz w:val="22"/>
          <w:szCs w:val="22"/>
        </w:rPr>
      </w:pPr>
    </w:p>
    <w:p w14:paraId="17591FFB" w14:textId="77777777" w:rsidR="0013366E" w:rsidRDefault="0013366E" w:rsidP="005D0BAE">
      <w:pPr>
        <w:spacing w:after="0"/>
        <w:rPr>
          <w:sz w:val="22"/>
          <w:szCs w:val="22"/>
        </w:rPr>
      </w:pPr>
    </w:p>
    <w:p w14:paraId="7CEF3204" w14:textId="77777777" w:rsidR="00134589" w:rsidRDefault="00134589" w:rsidP="005D0BAE">
      <w:pPr>
        <w:spacing w:after="0"/>
        <w:rPr>
          <w:sz w:val="22"/>
          <w:szCs w:val="22"/>
        </w:rPr>
      </w:pPr>
    </w:p>
    <w:p w14:paraId="700966D9" w14:textId="77777777" w:rsidR="00134589" w:rsidRDefault="00134589" w:rsidP="005D0BAE">
      <w:pPr>
        <w:spacing w:after="0"/>
        <w:rPr>
          <w:sz w:val="22"/>
          <w:szCs w:val="22"/>
        </w:rPr>
      </w:pPr>
    </w:p>
    <w:p w14:paraId="189F4B86" w14:textId="77777777" w:rsidR="008460D6" w:rsidRDefault="008460D6" w:rsidP="007B404B">
      <w:pPr>
        <w:spacing w:after="0"/>
        <w:rPr>
          <w:sz w:val="22"/>
          <w:szCs w:val="22"/>
        </w:rPr>
      </w:pPr>
    </w:p>
    <w:p w14:paraId="2CA73722" w14:textId="5AAE0558" w:rsidR="0013366E" w:rsidRPr="00942BCF" w:rsidRDefault="007B404B" w:rsidP="007B404B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A</w:t>
      </w:r>
      <w:r w:rsidR="0013366E" w:rsidRPr="00942BCF">
        <w:rPr>
          <w:b/>
          <w:bCs/>
          <w:sz w:val="22"/>
          <w:szCs w:val="22"/>
        </w:rPr>
        <w:t xml:space="preserve">pplicable Standards </w:t>
      </w:r>
      <w:r w:rsidR="00B357B1" w:rsidRPr="00B357B1">
        <w:rPr>
          <w:b/>
          <w:bCs/>
          <w:sz w:val="22"/>
          <w:szCs w:val="22"/>
        </w:rPr>
        <w:t>by</w:t>
      </w:r>
      <w:r w:rsidR="0013366E" w:rsidRPr="00942BCF">
        <w:rPr>
          <w:b/>
          <w:bCs/>
          <w:sz w:val="22"/>
          <w:szCs w:val="22"/>
        </w:rPr>
        <w:t xml:space="preserve"> Service</w:t>
      </w:r>
    </w:p>
    <w:tbl>
      <w:tblPr>
        <w:tblStyle w:val="GridTable4-Accent11"/>
        <w:tblW w:w="0" w:type="auto"/>
        <w:tblLook w:val="04A0" w:firstRow="1" w:lastRow="0" w:firstColumn="1" w:lastColumn="0" w:noHBand="0" w:noVBand="1"/>
      </w:tblPr>
      <w:tblGrid>
        <w:gridCol w:w="3908"/>
        <w:gridCol w:w="1734"/>
        <w:gridCol w:w="1819"/>
        <w:gridCol w:w="1889"/>
      </w:tblGrid>
      <w:tr w:rsidR="005646EA" w:rsidRPr="005646EA" w14:paraId="30433C81" w14:textId="77777777" w:rsidTr="00F24B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8" w:type="dxa"/>
          </w:tcPr>
          <w:p w14:paraId="2B8215F2" w14:textId="77777777" w:rsidR="005646EA" w:rsidRPr="005646EA" w:rsidRDefault="005646EA" w:rsidP="005646EA">
            <w:pPr>
              <w:jc w:val="center"/>
              <w:rPr>
                <w:rFonts w:ascii="Aptos" w:eastAsia="Aptos" w:hAnsi="Aptos" w:cs="Times New Roman"/>
                <w:sz w:val="22"/>
                <w:szCs w:val="22"/>
              </w:rPr>
            </w:pPr>
            <w:r w:rsidRPr="005646EA">
              <w:rPr>
                <w:rFonts w:ascii="Aptos" w:eastAsia="Aptos" w:hAnsi="Aptos" w:cs="Times New Roman"/>
                <w:sz w:val="22"/>
                <w:szCs w:val="22"/>
              </w:rPr>
              <w:t>Service</w:t>
            </w:r>
          </w:p>
        </w:tc>
        <w:tc>
          <w:tcPr>
            <w:tcW w:w="1734" w:type="dxa"/>
          </w:tcPr>
          <w:p w14:paraId="3890ACB2" w14:textId="77777777" w:rsidR="005646EA" w:rsidRPr="005646EA" w:rsidRDefault="005646EA" w:rsidP="005646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Times New Roman"/>
                <w:sz w:val="22"/>
                <w:szCs w:val="22"/>
              </w:rPr>
            </w:pPr>
            <w:r w:rsidRPr="005646EA">
              <w:rPr>
                <w:rFonts w:ascii="Aptos" w:eastAsia="Aptos" w:hAnsi="Aptos" w:cs="Times New Roman"/>
                <w:sz w:val="22"/>
                <w:szCs w:val="22"/>
              </w:rPr>
              <w:t>Population</w:t>
            </w:r>
          </w:p>
        </w:tc>
        <w:tc>
          <w:tcPr>
            <w:tcW w:w="1819" w:type="dxa"/>
          </w:tcPr>
          <w:p w14:paraId="213E02F4" w14:textId="77777777" w:rsidR="005646EA" w:rsidRPr="005646EA" w:rsidRDefault="005646EA" w:rsidP="005646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Times New Roman"/>
              </w:rPr>
            </w:pPr>
            <w:r w:rsidRPr="005646EA">
              <w:rPr>
                <w:rFonts w:ascii="Aptos" w:eastAsia="Aptos" w:hAnsi="Aptos" w:cs="Times New Roman"/>
              </w:rPr>
              <w:t>Time/Distance</w:t>
            </w:r>
          </w:p>
        </w:tc>
        <w:tc>
          <w:tcPr>
            <w:tcW w:w="1889" w:type="dxa"/>
          </w:tcPr>
          <w:p w14:paraId="63041FC2" w14:textId="77777777" w:rsidR="005646EA" w:rsidRPr="005646EA" w:rsidRDefault="005646EA" w:rsidP="005646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Times New Roman"/>
              </w:rPr>
            </w:pPr>
            <w:r w:rsidRPr="005646EA">
              <w:rPr>
                <w:rFonts w:ascii="Aptos" w:eastAsia="Aptos" w:hAnsi="Aptos" w:cs="Times New Roman"/>
              </w:rPr>
              <w:t>Provider To Enrollee Ratio</w:t>
            </w:r>
          </w:p>
        </w:tc>
      </w:tr>
      <w:tr w:rsidR="005646EA" w:rsidRPr="005646EA" w14:paraId="62AA3E86" w14:textId="77777777" w:rsidTr="00F24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8" w:type="dxa"/>
            <w:hideMark/>
          </w:tcPr>
          <w:p w14:paraId="1E74F157" w14:textId="77777777" w:rsidR="005646EA" w:rsidRPr="005646EA" w:rsidRDefault="005646EA" w:rsidP="005646EA">
            <w:pPr>
              <w:jc w:val="center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646EA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Assertive Community Treatment – H0039</w:t>
            </w:r>
          </w:p>
        </w:tc>
        <w:tc>
          <w:tcPr>
            <w:tcW w:w="1734" w:type="dxa"/>
            <w:hideMark/>
          </w:tcPr>
          <w:p w14:paraId="075B4D3B" w14:textId="77777777" w:rsidR="005646EA" w:rsidRPr="005646EA" w:rsidRDefault="005646EA" w:rsidP="00564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646EA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Adult</w:t>
            </w:r>
          </w:p>
        </w:tc>
        <w:tc>
          <w:tcPr>
            <w:tcW w:w="1819" w:type="dxa"/>
            <w:hideMark/>
          </w:tcPr>
          <w:p w14:paraId="54AE93DE" w14:textId="77777777" w:rsidR="005646EA" w:rsidRPr="005646EA" w:rsidRDefault="005646EA" w:rsidP="00564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646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89" w:type="dxa"/>
            <w:hideMark/>
          </w:tcPr>
          <w:p w14:paraId="486B97C5" w14:textId="77777777" w:rsidR="005646EA" w:rsidRPr="005646EA" w:rsidRDefault="005646EA" w:rsidP="00564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Calibri"/>
                <w:color w:val="000000"/>
                <w:kern w:val="0"/>
                <w:sz w:val="44"/>
                <w:szCs w:val="44"/>
                <w14:ligatures w14:val="none"/>
              </w:rPr>
            </w:pPr>
            <w:r w:rsidRPr="005646EA">
              <w:rPr>
                <w:rFonts w:ascii="Wingdings" w:eastAsia="Times New Roman" w:hAnsi="Wingdings" w:cs="Calibri"/>
                <w:color w:val="000000"/>
                <w:kern w:val="0"/>
                <w:sz w:val="44"/>
                <w:szCs w:val="44"/>
                <w14:ligatures w14:val="none"/>
              </w:rPr>
              <w:t>ü</w:t>
            </w:r>
          </w:p>
        </w:tc>
      </w:tr>
      <w:tr w:rsidR="005646EA" w:rsidRPr="005646EA" w14:paraId="6080C74A" w14:textId="77777777" w:rsidTr="00F24BA2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8" w:type="dxa"/>
            <w:hideMark/>
          </w:tcPr>
          <w:p w14:paraId="382D9257" w14:textId="77777777" w:rsidR="005646EA" w:rsidRPr="005646EA" w:rsidRDefault="005646EA" w:rsidP="005646EA">
            <w:pPr>
              <w:jc w:val="center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646EA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Crisis Residential Programs - H0018</w:t>
            </w:r>
          </w:p>
        </w:tc>
        <w:tc>
          <w:tcPr>
            <w:tcW w:w="1734" w:type="dxa"/>
            <w:hideMark/>
          </w:tcPr>
          <w:p w14:paraId="4753F084" w14:textId="00CFE6D0" w:rsidR="005646EA" w:rsidRPr="005646EA" w:rsidRDefault="005646EA" w:rsidP="00564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646EA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Adult/</w:t>
            </w:r>
            <w:r w:rsidR="007848AD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Children and Youth</w:t>
            </w:r>
          </w:p>
        </w:tc>
        <w:tc>
          <w:tcPr>
            <w:tcW w:w="1819" w:type="dxa"/>
            <w:hideMark/>
          </w:tcPr>
          <w:p w14:paraId="7A3EDAC8" w14:textId="77777777" w:rsidR="005646EA" w:rsidRPr="005646EA" w:rsidRDefault="005646EA" w:rsidP="00564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color w:val="000000"/>
                <w:kern w:val="0"/>
                <w:sz w:val="44"/>
                <w:szCs w:val="44"/>
                <w14:ligatures w14:val="none"/>
              </w:rPr>
            </w:pPr>
            <w:r w:rsidRPr="005646EA">
              <w:rPr>
                <w:rFonts w:ascii="Wingdings" w:eastAsia="Times New Roman" w:hAnsi="Wingdings" w:cs="Calibri"/>
                <w:color w:val="000000"/>
                <w:kern w:val="0"/>
                <w:sz w:val="44"/>
                <w:szCs w:val="44"/>
                <w14:ligatures w14:val="none"/>
              </w:rPr>
              <w:t>ü</w:t>
            </w:r>
          </w:p>
        </w:tc>
        <w:tc>
          <w:tcPr>
            <w:tcW w:w="1889" w:type="dxa"/>
            <w:hideMark/>
          </w:tcPr>
          <w:p w14:paraId="585C1AE6" w14:textId="77777777" w:rsidR="005646EA" w:rsidRPr="005646EA" w:rsidRDefault="005646EA" w:rsidP="00564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color w:val="000000"/>
                <w:kern w:val="0"/>
                <w:sz w:val="44"/>
                <w:szCs w:val="44"/>
                <w14:ligatures w14:val="none"/>
              </w:rPr>
            </w:pPr>
            <w:r w:rsidRPr="005646EA">
              <w:rPr>
                <w:rFonts w:ascii="Wingdings" w:eastAsia="Times New Roman" w:hAnsi="Wingdings" w:cs="Calibri"/>
                <w:color w:val="000000"/>
                <w:kern w:val="0"/>
                <w:sz w:val="44"/>
                <w:szCs w:val="44"/>
                <w14:ligatures w14:val="none"/>
              </w:rPr>
              <w:t>ü</w:t>
            </w:r>
          </w:p>
        </w:tc>
      </w:tr>
      <w:tr w:rsidR="005646EA" w:rsidRPr="005646EA" w14:paraId="6C7A9CA4" w14:textId="77777777" w:rsidTr="00F24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8" w:type="dxa"/>
            <w:hideMark/>
          </w:tcPr>
          <w:p w14:paraId="476A44A3" w14:textId="77777777" w:rsidR="005646EA" w:rsidRPr="005646EA" w:rsidRDefault="005646EA" w:rsidP="005646EA">
            <w:pPr>
              <w:jc w:val="center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646EA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Opioid Treatment Programs/SUD MAT Methadone – H0020</w:t>
            </w:r>
          </w:p>
        </w:tc>
        <w:tc>
          <w:tcPr>
            <w:tcW w:w="1734" w:type="dxa"/>
            <w:hideMark/>
          </w:tcPr>
          <w:p w14:paraId="52D80A7D" w14:textId="77777777" w:rsidR="005646EA" w:rsidRPr="005646EA" w:rsidRDefault="005646EA" w:rsidP="00564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646EA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Adult</w:t>
            </w:r>
          </w:p>
        </w:tc>
        <w:tc>
          <w:tcPr>
            <w:tcW w:w="1819" w:type="dxa"/>
            <w:hideMark/>
          </w:tcPr>
          <w:p w14:paraId="45173F1E" w14:textId="77777777" w:rsidR="005646EA" w:rsidRPr="005646EA" w:rsidRDefault="005646EA" w:rsidP="00564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Calibri"/>
                <w:color w:val="000000"/>
                <w:kern w:val="0"/>
                <w:sz w:val="44"/>
                <w:szCs w:val="44"/>
                <w14:ligatures w14:val="none"/>
              </w:rPr>
            </w:pPr>
            <w:r w:rsidRPr="005646EA">
              <w:rPr>
                <w:rFonts w:ascii="Wingdings" w:eastAsia="Times New Roman" w:hAnsi="Wingdings" w:cs="Calibri"/>
                <w:color w:val="000000"/>
                <w:kern w:val="0"/>
                <w:sz w:val="44"/>
                <w:szCs w:val="44"/>
                <w14:ligatures w14:val="none"/>
              </w:rPr>
              <w:t>ü</w:t>
            </w:r>
          </w:p>
        </w:tc>
        <w:tc>
          <w:tcPr>
            <w:tcW w:w="1889" w:type="dxa"/>
            <w:hideMark/>
          </w:tcPr>
          <w:p w14:paraId="27DD3658" w14:textId="77777777" w:rsidR="005646EA" w:rsidRPr="005646EA" w:rsidRDefault="005646EA" w:rsidP="00564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Calibri"/>
                <w:color w:val="000000"/>
                <w:kern w:val="0"/>
                <w:sz w:val="44"/>
                <w:szCs w:val="44"/>
                <w14:ligatures w14:val="none"/>
              </w:rPr>
            </w:pPr>
            <w:r w:rsidRPr="005646EA">
              <w:rPr>
                <w:rFonts w:ascii="Wingdings" w:eastAsia="Times New Roman" w:hAnsi="Wingdings" w:cs="Calibri"/>
                <w:color w:val="000000"/>
                <w:kern w:val="0"/>
                <w:sz w:val="44"/>
                <w:szCs w:val="44"/>
                <w14:ligatures w14:val="none"/>
              </w:rPr>
              <w:t>ü</w:t>
            </w:r>
          </w:p>
        </w:tc>
      </w:tr>
      <w:tr w:rsidR="005646EA" w:rsidRPr="005646EA" w14:paraId="5B9EB2C8" w14:textId="77777777" w:rsidTr="00F24BA2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8" w:type="dxa"/>
            <w:hideMark/>
          </w:tcPr>
          <w:p w14:paraId="36D83524" w14:textId="77777777" w:rsidR="005646EA" w:rsidRPr="005646EA" w:rsidRDefault="005646EA" w:rsidP="005646EA">
            <w:pPr>
              <w:jc w:val="center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646EA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Psychosocial Rehabilitation Programs (Clubhouses) - H2030</w:t>
            </w:r>
          </w:p>
        </w:tc>
        <w:tc>
          <w:tcPr>
            <w:tcW w:w="1734" w:type="dxa"/>
            <w:hideMark/>
          </w:tcPr>
          <w:p w14:paraId="1F7B7FC5" w14:textId="77777777" w:rsidR="005646EA" w:rsidRPr="005646EA" w:rsidRDefault="005646EA" w:rsidP="00564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646EA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Adult</w:t>
            </w:r>
          </w:p>
        </w:tc>
        <w:tc>
          <w:tcPr>
            <w:tcW w:w="1819" w:type="dxa"/>
            <w:hideMark/>
          </w:tcPr>
          <w:p w14:paraId="5FE16C4D" w14:textId="77777777" w:rsidR="005646EA" w:rsidRPr="005646EA" w:rsidRDefault="005646EA" w:rsidP="00564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color w:val="000000"/>
                <w:kern w:val="0"/>
                <w:sz w:val="44"/>
                <w:szCs w:val="44"/>
                <w14:ligatures w14:val="none"/>
              </w:rPr>
            </w:pPr>
            <w:r w:rsidRPr="005646EA">
              <w:rPr>
                <w:rFonts w:ascii="Wingdings" w:eastAsia="Times New Roman" w:hAnsi="Wingdings" w:cs="Calibri"/>
                <w:color w:val="000000"/>
                <w:kern w:val="0"/>
                <w:sz w:val="44"/>
                <w:szCs w:val="44"/>
                <w14:ligatures w14:val="none"/>
              </w:rPr>
              <w:t>ü</w:t>
            </w:r>
          </w:p>
        </w:tc>
        <w:tc>
          <w:tcPr>
            <w:tcW w:w="1889" w:type="dxa"/>
            <w:hideMark/>
          </w:tcPr>
          <w:p w14:paraId="6604A79A" w14:textId="77777777" w:rsidR="005646EA" w:rsidRPr="005646EA" w:rsidRDefault="005646EA" w:rsidP="00564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color w:val="000000"/>
                <w:kern w:val="0"/>
                <w:sz w:val="44"/>
                <w:szCs w:val="44"/>
                <w14:ligatures w14:val="none"/>
              </w:rPr>
            </w:pPr>
            <w:r w:rsidRPr="005646EA">
              <w:rPr>
                <w:rFonts w:ascii="Wingdings" w:eastAsia="Times New Roman" w:hAnsi="Wingdings" w:cs="Calibri"/>
                <w:color w:val="000000"/>
                <w:kern w:val="0"/>
                <w:sz w:val="44"/>
                <w:szCs w:val="44"/>
                <w14:ligatures w14:val="none"/>
              </w:rPr>
              <w:t>ü</w:t>
            </w:r>
          </w:p>
        </w:tc>
      </w:tr>
      <w:tr w:rsidR="005646EA" w:rsidRPr="005646EA" w14:paraId="2B9DB3A0" w14:textId="77777777" w:rsidTr="00F24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8" w:type="dxa"/>
            <w:hideMark/>
          </w:tcPr>
          <w:p w14:paraId="723D9BD0" w14:textId="77777777" w:rsidR="005646EA" w:rsidRPr="005646EA" w:rsidRDefault="005646EA" w:rsidP="005646EA">
            <w:pPr>
              <w:jc w:val="center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646EA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Inpatient Psychiatric Services - 0100, 0114, 0124, 0134, 0154</w:t>
            </w:r>
          </w:p>
        </w:tc>
        <w:tc>
          <w:tcPr>
            <w:tcW w:w="1734" w:type="dxa"/>
            <w:hideMark/>
          </w:tcPr>
          <w:p w14:paraId="408F6FC0" w14:textId="42D673C8" w:rsidR="005646EA" w:rsidRPr="005646EA" w:rsidRDefault="005646EA" w:rsidP="00564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646EA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Adult/</w:t>
            </w:r>
            <w:r w:rsidR="007848AD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Children and Youth</w:t>
            </w:r>
          </w:p>
        </w:tc>
        <w:tc>
          <w:tcPr>
            <w:tcW w:w="1819" w:type="dxa"/>
            <w:hideMark/>
          </w:tcPr>
          <w:p w14:paraId="59BEF5E2" w14:textId="77777777" w:rsidR="005646EA" w:rsidRPr="005646EA" w:rsidRDefault="005646EA" w:rsidP="00564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Calibri"/>
                <w:color w:val="000000"/>
                <w:kern w:val="0"/>
                <w:sz w:val="44"/>
                <w:szCs w:val="44"/>
                <w14:ligatures w14:val="none"/>
              </w:rPr>
            </w:pPr>
            <w:r w:rsidRPr="005646EA">
              <w:rPr>
                <w:rFonts w:ascii="Wingdings" w:eastAsia="Times New Roman" w:hAnsi="Wingdings" w:cs="Calibri"/>
                <w:color w:val="000000"/>
                <w:kern w:val="0"/>
                <w:sz w:val="44"/>
                <w:szCs w:val="44"/>
                <w14:ligatures w14:val="none"/>
              </w:rPr>
              <w:t>ü</w:t>
            </w:r>
          </w:p>
        </w:tc>
        <w:tc>
          <w:tcPr>
            <w:tcW w:w="1889" w:type="dxa"/>
            <w:hideMark/>
          </w:tcPr>
          <w:p w14:paraId="0DEBD6D7" w14:textId="77777777" w:rsidR="005646EA" w:rsidRPr="005646EA" w:rsidRDefault="005646EA" w:rsidP="00564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646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5646EA" w:rsidRPr="005646EA" w14:paraId="04A8656A" w14:textId="77777777" w:rsidTr="00F24BA2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8" w:type="dxa"/>
            <w:hideMark/>
          </w:tcPr>
          <w:p w14:paraId="5C00B978" w14:textId="124A1973" w:rsidR="005646EA" w:rsidRPr="005646EA" w:rsidRDefault="005646EA" w:rsidP="005646EA">
            <w:pPr>
              <w:jc w:val="center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646EA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Home-Based Services – H0036</w:t>
            </w:r>
          </w:p>
        </w:tc>
        <w:tc>
          <w:tcPr>
            <w:tcW w:w="1734" w:type="dxa"/>
            <w:hideMark/>
          </w:tcPr>
          <w:p w14:paraId="22D82137" w14:textId="38249EAB" w:rsidR="005646EA" w:rsidRPr="005646EA" w:rsidRDefault="007848AD" w:rsidP="00564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Children and Youth</w:t>
            </w:r>
          </w:p>
        </w:tc>
        <w:tc>
          <w:tcPr>
            <w:tcW w:w="1819" w:type="dxa"/>
            <w:hideMark/>
          </w:tcPr>
          <w:p w14:paraId="587EEEAE" w14:textId="77777777" w:rsidR="005646EA" w:rsidRPr="005646EA" w:rsidRDefault="005646EA" w:rsidP="00564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color w:val="000000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1889" w:type="dxa"/>
            <w:hideMark/>
          </w:tcPr>
          <w:p w14:paraId="18976FCA" w14:textId="77777777" w:rsidR="005646EA" w:rsidRPr="005646EA" w:rsidRDefault="005646EA" w:rsidP="00564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color w:val="000000"/>
                <w:kern w:val="0"/>
                <w:sz w:val="44"/>
                <w:szCs w:val="44"/>
                <w14:ligatures w14:val="none"/>
              </w:rPr>
            </w:pPr>
            <w:r w:rsidRPr="005646EA">
              <w:rPr>
                <w:rFonts w:ascii="Wingdings" w:eastAsia="Times New Roman" w:hAnsi="Wingdings" w:cs="Calibri"/>
                <w:color w:val="000000"/>
                <w:kern w:val="0"/>
                <w:sz w:val="44"/>
                <w:szCs w:val="44"/>
                <w14:ligatures w14:val="none"/>
              </w:rPr>
              <w:t>ü</w:t>
            </w:r>
          </w:p>
        </w:tc>
      </w:tr>
      <w:tr w:rsidR="005646EA" w:rsidRPr="005646EA" w14:paraId="209EDEC6" w14:textId="77777777" w:rsidTr="00F24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8" w:type="dxa"/>
            <w:hideMark/>
          </w:tcPr>
          <w:p w14:paraId="4B473C7E" w14:textId="51AA882C" w:rsidR="005646EA" w:rsidRPr="005646EA" w:rsidRDefault="00F65F74" w:rsidP="005646EA">
            <w:pPr>
              <w:jc w:val="center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ICCW</w:t>
            </w:r>
            <w:r w:rsidR="005646EA" w:rsidRPr="005646EA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– H202</w:t>
            </w:r>
            <w:r w:rsidR="00E32AD1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  <w:r w:rsidR="005646EA" w:rsidRPr="005646EA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1734" w:type="dxa"/>
            <w:hideMark/>
          </w:tcPr>
          <w:p w14:paraId="06E89554" w14:textId="6FE7D159" w:rsidR="005646EA" w:rsidRPr="005646EA" w:rsidRDefault="007848AD" w:rsidP="00564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Children and Youth</w:t>
            </w:r>
          </w:p>
        </w:tc>
        <w:tc>
          <w:tcPr>
            <w:tcW w:w="1819" w:type="dxa"/>
            <w:hideMark/>
          </w:tcPr>
          <w:p w14:paraId="23B56C0B" w14:textId="77777777" w:rsidR="005646EA" w:rsidRPr="005646EA" w:rsidRDefault="005646EA" w:rsidP="00564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Calibri"/>
                <w:color w:val="000000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1889" w:type="dxa"/>
            <w:hideMark/>
          </w:tcPr>
          <w:p w14:paraId="01FEA224" w14:textId="77777777" w:rsidR="005646EA" w:rsidRPr="005646EA" w:rsidRDefault="005646EA" w:rsidP="00564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Calibri"/>
                <w:color w:val="000000"/>
                <w:kern w:val="0"/>
                <w:sz w:val="44"/>
                <w:szCs w:val="44"/>
                <w14:ligatures w14:val="none"/>
              </w:rPr>
            </w:pPr>
            <w:r w:rsidRPr="005646EA">
              <w:rPr>
                <w:rFonts w:ascii="Wingdings" w:eastAsia="Times New Roman" w:hAnsi="Wingdings" w:cs="Calibri"/>
                <w:color w:val="000000"/>
                <w:kern w:val="0"/>
                <w:sz w:val="44"/>
                <w:szCs w:val="44"/>
                <w14:ligatures w14:val="none"/>
              </w:rPr>
              <w:t>ü</w:t>
            </w:r>
          </w:p>
        </w:tc>
      </w:tr>
      <w:tr w:rsidR="005646EA" w:rsidRPr="005646EA" w14:paraId="0035F96B" w14:textId="77777777" w:rsidTr="00F24BA2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8" w:type="dxa"/>
            <w:hideMark/>
          </w:tcPr>
          <w:p w14:paraId="09D52568" w14:textId="55CEAA9D" w:rsidR="005646EA" w:rsidRPr="005646EA" w:rsidRDefault="00F65F74" w:rsidP="005646EA">
            <w:pPr>
              <w:jc w:val="center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ICSS</w:t>
            </w:r>
            <w:r w:rsidR="005646EA" w:rsidRPr="005646EA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(Mobile Response with Two Person Team) – H2011HT</w:t>
            </w:r>
          </w:p>
        </w:tc>
        <w:tc>
          <w:tcPr>
            <w:tcW w:w="1734" w:type="dxa"/>
            <w:hideMark/>
          </w:tcPr>
          <w:p w14:paraId="5108B83C" w14:textId="2B572B42" w:rsidR="005646EA" w:rsidRPr="005646EA" w:rsidRDefault="007848AD" w:rsidP="00564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Children and Youth</w:t>
            </w:r>
          </w:p>
        </w:tc>
        <w:tc>
          <w:tcPr>
            <w:tcW w:w="1819" w:type="dxa"/>
            <w:hideMark/>
          </w:tcPr>
          <w:p w14:paraId="5690AB24" w14:textId="77777777" w:rsidR="005646EA" w:rsidRPr="005646EA" w:rsidRDefault="005646EA" w:rsidP="00564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646E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89" w:type="dxa"/>
            <w:hideMark/>
          </w:tcPr>
          <w:p w14:paraId="070259A6" w14:textId="77777777" w:rsidR="005646EA" w:rsidRPr="005646EA" w:rsidRDefault="005646EA" w:rsidP="00564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color w:val="000000"/>
                <w:kern w:val="0"/>
                <w:sz w:val="44"/>
                <w:szCs w:val="44"/>
                <w14:ligatures w14:val="none"/>
              </w:rPr>
            </w:pPr>
            <w:r w:rsidRPr="005646EA">
              <w:rPr>
                <w:rFonts w:ascii="Wingdings" w:eastAsia="Times New Roman" w:hAnsi="Wingdings" w:cs="Calibri"/>
                <w:color w:val="000000"/>
                <w:kern w:val="0"/>
                <w:sz w:val="44"/>
                <w:szCs w:val="44"/>
                <w14:ligatures w14:val="none"/>
              </w:rPr>
              <w:t>ü</w:t>
            </w:r>
          </w:p>
        </w:tc>
      </w:tr>
      <w:tr w:rsidR="005646EA" w:rsidRPr="005646EA" w14:paraId="23A4DD67" w14:textId="77777777" w:rsidTr="00F24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8" w:type="dxa"/>
            <w:hideMark/>
          </w:tcPr>
          <w:p w14:paraId="31AE359E" w14:textId="77777777" w:rsidR="005646EA" w:rsidRPr="005646EA" w:rsidRDefault="005646EA" w:rsidP="005646EA">
            <w:pPr>
              <w:jc w:val="center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646EA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Respite Services – T1005, H0045, S5151</w:t>
            </w:r>
          </w:p>
        </w:tc>
        <w:tc>
          <w:tcPr>
            <w:tcW w:w="1734" w:type="dxa"/>
            <w:hideMark/>
          </w:tcPr>
          <w:p w14:paraId="034BCDA3" w14:textId="4A235A6B" w:rsidR="005646EA" w:rsidRPr="005646EA" w:rsidRDefault="007848AD" w:rsidP="00564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Children and Youth</w:t>
            </w:r>
          </w:p>
        </w:tc>
        <w:tc>
          <w:tcPr>
            <w:tcW w:w="1819" w:type="dxa"/>
            <w:hideMark/>
          </w:tcPr>
          <w:p w14:paraId="0E1CA2E9" w14:textId="77777777" w:rsidR="005646EA" w:rsidRPr="005646EA" w:rsidRDefault="005646EA" w:rsidP="00564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646E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89" w:type="dxa"/>
            <w:hideMark/>
          </w:tcPr>
          <w:p w14:paraId="7BA27D11" w14:textId="77777777" w:rsidR="005646EA" w:rsidRPr="005646EA" w:rsidRDefault="005646EA" w:rsidP="00564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Calibri"/>
                <w:color w:val="000000"/>
                <w:kern w:val="0"/>
                <w:sz w:val="44"/>
                <w:szCs w:val="44"/>
                <w14:ligatures w14:val="none"/>
              </w:rPr>
            </w:pPr>
            <w:r w:rsidRPr="005646EA">
              <w:rPr>
                <w:rFonts w:ascii="Wingdings" w:eastAsia="Times New Roman" w:hAnsi="Wingdings" w:cs="Calibri"/>
                <w:color w:val="000000"/>
                <w:kern w:val="0"/>
                <w:sz w:val="44"/>
                <w:szCs w:val="44"/>
                <w14:ligatures w14:val="none"/>
              </w:rPr>
              <w:t>ü</w:t>
            </w:r>
          </w:p>
        </w:tc>
      </w:tr>
      <w:tr w:rsidR="005646EA" w:rsidRPr="005646EA" w14:paraId="7101911D" w14:textId="77777777" w:rsidTr="00F24BA2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8" w:type="dxa"/>
            <w:hideMark/>
          </w:tcPr>
          <w:p w14:paraId="06CE8560" w14:textId="77777777" w:rsidR="005646EA" w:rsidRPr="005646EA" w:rsidRDefault="005646EA" w:rsidP="005646EA">
            <w:pPr>
              <w:jc w:val="center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646EA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Parent Support Partner Services S5111-WP</w:t>
            </w:r>
          </w:p>
        </w:tc>
        <w:tc>
          <w:tcPr>
            <w:tcW w:w="1734" w:type="dxa"/>
            <w:hideMark/>
          </w:tcPr>
          <w:p w14:paraId="3BDF55E5" w14:textId="495093BC" w:rsidR="005646EA" w:rsidRPr="005646EA" w:rsidRDefault="007848AD" w:rsidP="00564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Children and Youth</w:t>
            </w:r>
          </w:p>
        </w:tc>
        <w:tc>
          <w:tcPr>
            <w:tcW w:w="1819" w:type="dxa"/>
            <w:hideMark/>
          </w:tcPr>
          <w:p w14:paraId="01EEF781" w14:textId="77777777" w:rsidR="005646EA" w:rsidRPr="005646EA" w:rsidRDefault="005646EA" w:rsidP="00564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color w:val="000000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1889" w:type="dxa"/>
            <w:hideMark/>
          </w:tcPr>
          <w:p w14:paraId="4799C403" w14:textId="77777777" w:rsidR="005646EA" w:rsidRPr="005646EA" w:rsidRDefault="005646EA" w:rsidP="00564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color w:val="000000"/>
                <w:kern w:val="0"/>
                <w:sz w:val="44"/>
                <w:szCs w:val="44"/>
                <w14:ligatures w14:val="none"/>
              </w:rPr>
            </w:pPr>
            <w:r w:rsidRPr="005646EA">
              <w:rPr>
                <w:rFonts w:ascii="Wingdings" w:eastAsia="Times New Roman" w:hAnsi="Wingdings" w:cs="Calibri"/>
                <w:color w:val="000000"/>
                <w:kern w:val="0"/>
                <w:sz w:val="44"/>
                <w:szCs w:val="44"/>
                <w14:ligatures w14:val="none"/>
              </w:rPr>
              <w:t>ü</w:t>
            </w:r>
          </w:p>
        </w:tc>
      </w:tr>
      <w:tr w:rsidR="005646EA" w:rsidRPr="005646EA" w14:paraId="32AA239E" w14:textId="77777777" w:rsidTr="00F24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8" w:type="dxa"/>
            <w:hideMark/>
          </w:tcPr>
          <w:p w14:paraId="6428F733" w14:textId="77777777" w:rsidR="005646EA" w:rsidRPr="005646EA" w:rsidRDefault="005646EA" w:rsidP="005646EA">
            <w:pPr>
              <w:jc w:val="center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646EA"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Youth Peer Support Services H0038-WT</w:t>
            </w:r>
          </w:p>
        </w:tc>
        <w:tc>
          <w:tcPr>
            <w:tcW w:w="1734" w:type="dxa"/>
            <w:hideMark/>
          </w:tcPr>
          <w:p w14:paraId="12A04E80" w14:textId="33407D79" w:rsidR="005646EA" w:rsidRPr="005646EA" w:rsidRDefault="007848AD" w:rsidP="00564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" w:eastAsia="Times New Roman" w:hAnsi="Aptos" w:cs="Calibri"/>
                <w:color w:val="000000"/>
                <w:kern w:val="0"/>
                <w:sz w:val="22"/>
                <w:szCs w:val="22"/>
                <w14:ligatures w14:val="none"/>
              </w:rPr>
              <w:t>Children and Youth</w:t>
            </w:r>
          </w:p>
        </w:tc>
        <w:tc>
          <w:tcPr>
            <w:tcW w:w="1819" w:type="dxa"/>
            <w:hideMark/>
          </w:tcPr>
          <w:p w14:paraId="2AF0385A" w14:textId="77777777" w:rsidR="005646EA" w:rsidRPr="005646EA" w:rsidRDefault="005646EA" w:rsidP="00564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Calibri"/>
                <w:color w:val="000000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1889" w:type="dxa"/>
            <w:hideMark/>
          </w:tcPr>
          <w:p w14:paraId="5CAEA2D8" w14:textId="77777777" w:rsidR="005646EA" w:rsidRPr="005646EA" w:rsidRDefault="005646EA" w:rsidP="00564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Calibri"/>
                <w:color w:val="000000"/>
                <w:kern w:val="0"/>
                <w:sz w:val="44"/>
                <w:szCs w:val="44"/>
                <w14:ligatures w14:val="none"/>
              </w:rPr>
            </w:pPr>
            <w:r w:rsidRPr="005646EA">
              <w:rPr>
                <w:rFonts w:ascii="Wingdings" w:eastAsia="Times New Roman" w:hAnsi="Wingdings" w:cs="Calibri"/>
                <w:color w:val="000000"/>
                <w:kern w:val="0"/>
                <w:sz w:val="44"/>
                <w:szCs w:val="44"/>
                <w14:ligatures w14:val="none"/>
              </w:rPr>
              <w:t>ü</w:t>
            </w:r>
          </w:p>
        </w:tc>
      </w:tr>
      <w:tr w:rsidR="005646EA" w:rsidRPr="005646EA" w14:paraId="7F394BAD" w14:textId="77777777" w:rsidTr="00F24BA2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8" w:type="dxa"/>
          </w:tcPr>
          <w:p w14:paraId="4425347F" w14:textId="77777777" w:rsidR="005646EA" w:rsidRPr="005646EA" w:rsidRDefault="005646EA" w:rsidP="005646EA">
            <w:pPr>
              <w:jc w:val="center"/>
              <w:rPr>
                <w:rFonts w:ascii="Aptos" w:eastAsia="Aptos" w:hAnsi="Aptos" w:cs="Times New Roman"/>
              </w:rPr>
            </w:pPr>
            <w:r w:rsidRPr="005646EA">
              <w:rPr>
                <w:rFonts w:ascii="Aptos" w:eastAsia="Aptos" w:hAnsi="Aptos" w:cs="Times New Roman"/>
              </w:rPr>
              <w:t>Skill Building (H2014)</w:t>
            </w:r>
          </w:p>
        </w:tc>
        <w:tc>
          <w:tcPr>
            <w:tcW w:w="1734" w:type="dxa"/>
          </w:tcPr>
          <w:p w14:paraId="625BCCA5" w14:textId="77777777" w:rsidR="005646EA" w:rsidRPr="005646EA" w:rsidRDefault="005646EA" w:rsidP="00564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Times New Roman"/>
              </w:rPr>
            </w:pPr>
            <w:r w:rsidRPr="005646EA">
              <w:rPr>
                <w:rFonts w:ascii="Aptos" w:eastAsia="Aptos" w:hAnsi="Aptos" w:cs="Times New Roman"/>
              </w:rPr>
              <w:t>Adult</w:t>
            </w:r>
          </w:p>
        </w:tc>
        <w:tc>
          <w:tcPr>
            <w:tcW w:w="1819" w:type="dxa"/>
          </w:tcPr>
          <w:p w14:paraId="76C6ADFB" w14:textId="77777777" w:rsidR="005646EA" w:rsidRPr="005646EA" w:rsidRDefault="005646EA" w:rsidP="00564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Times New Roman"/>
              </w:rPr>
            </w:pPr>
          </w:p>
        </w:tc>
        <w:tc>
          <w:tcPr>
            <w:tcW w:w="1889" w:type="dxa"/>
          </w:tcPr>
          <w:p w14:paraId="3F0D606F" w14:textId="77777777" w:rsidR="005646EA" w:rsidRPr="007B404B" w:rsidRDefault="005646EA" w:rsidP="00564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Times New Roman"/>
                <w:sz w:val="40"/>
                <w:szCs w:val="40"/>
              </w:rPr>
            </w:pPr>
            <w:r w:rsidRPr="007B404B">
              <w:rPr>
                <w:rFonts w:ascii="Wingdings" w:eastAsia="Times New Roman" w:hAnsi="Wingdings" w:cs="Calibri"/>
                <w:color w:val="000000"/>
                <w:kern w:val="0"/>
                <w:sz w:val="40"/>
                <w:szCs w:val="40"/>
                <w14:ligatures w14:val="none"/>
              </w:rPr>
              <w:t>ü</w:t>
            </w:r>
          </w:p>
        </w:tc>
      </w:tr>
      <w:tr w:rsidR="005646EA" w:rsidRPr="005646EA" w14:paraId="626840E0" w14:textId="77777777" w:rsidTr="00F24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8" w:type="dxa"/>
          </w:tcPr>
          <w:p w14:paraId="54192561" w14:textId="77777777" w:rsidR="005646EA" w:rsidRPr="005646EA" w:rsidRDefault="005646EA" w:rsidP="005646EA">
            <w:pPr>
              <w:jc w:val="center"/>
              <w:rPr>
                <w:rFonts w:ascii="Aptos" w:eastAsia="Aptos" w:hAnsi="Aptos" w:cs="Times New Roman"/>
              </w:rPr>
            </w:pPr>
            <w:r w:rsidRPr="005646EA">
              <w:rPr>
                <w:rFonts w:ascii="Aptos" w:eastAsia="Aptos" w:hAnsi="Aptos" w:cs="Times New Roman"/>
              </w:rPr>
              <w:t>Community Living Supports (H2015)</w:t>
            </w:r>
          </w:p>
        </w:tc>
        <w:tc>
          <w:tcPr>
            <w:tcW w:w="1734" w:type="dxa"/>
          </w:tcPr>
          <w:p w14:paraId="63BBEC0D" w14:textId="4C1A4D31" w:rsidR="005646EA" w:rsidRPr="005646EA" w:rsidRDefault="005646EA" w:rsidP="00564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Times New Roman"/>
              </w:rPr>
            </w:pPr>
            <w:r w:rsidRPr="005646EA">
              <w:rPr>
                <w:rFonts w:ascii="Aptos" w:eastAsia="Aptos" w:hAnsi="Aptos" w:cs="Times New Roman"/>
              </w:rPr>
              <w:t>Adult/</w:t>
            </w:r>
            <w:r w:rsidR="007848AD">
              <w:rPr>
                <w:rFonts w:ascii="Aptos" w:eastAsia="Aptos" w:hAnsi="Aptos" w:cs="Times New Roman"/>
              </w:rPr>
              <w:t>Children and Youth</w:t>
            </w:r>
          </w:p>
        </w:tc>
        <w:tc>
          <w:tcPr>
            <w:tcW w:w="1819" w:type="dxa"/>
          </w:tcPr>
          <w:p w14:paraId="3B5BAB8E" w14:textId="77777777" w:rsidR="005646EA" w:rsidRPr="005646EA" w:rsidRDefault="005646EA" w:rsidP="00564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Times New Roman"/>
              </w:rPr>
            </w:pPr>
          </w:p>
        </w:tc>
        <w:tc>
          <w:tcPr>
            <w:tcW w:w="1889" w:type="dxa"/>
          </w:tcPr>
          <w:p w14:paraId="46D13197" w14:textId="77777777" w:rsidR="005646EA" w:rsidRPr="005646EA" w:rsidRDefault="005646EA" w:rsidP="00564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Times New Roman"/>
              </w:rPr>
            </w:pPr>
            <w:r w:rsidRPr="005646EA">
              <w:rPr>
                <w:rFonts w:ascii="Wingdings" w:eastAsia="Times New Roman" w:hAnsi="Wingdings" w:cs="Calibri"/>
                <w:color w:val="000000"/>
                <w:kern w:val="0"/>
                <w:sz w:val="44"/>
                <w:szCs w:val="44"/>
                <w14:ligatures w14:val="none"/>
              </w:rPr>
              <w:t>ü</w:t>
            </w:r>
          </w:p>
        </w:tc>
      </w:tr>
      <w:tr w:rsidR="005646EA" w:rsidRPr="005646EA" w14:paraId="3D2F444F" w14:textId="77777777" w:rsidTr="00F24B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8" w:type="dxa"/>
          </w:tcPr>
          <w:p w14:paraId="548DB51B" w14:textId="77777777" w:rsidR="005646EA" w:rsidRPr="005646EA" w:rsidRDefault="005646EA" w:rsidP="005646EA">
            <w:pPr>
              <w:jc w:val="center"/>
              <w:rPr>
                <w:rFonts w:ascii="Aptos" w:eastAsia="Aptos" w:hAnsi="Aptos" w:cs="Times New Roman"/>
              </w:rPr>
            </w:pPr>
            <w:r w:rsidRPr="005646EA">
              <w:rPr>
                <w:rFonts w:ascii="Aptos" w:eastAsia="Aptos" w:hAnsi="Aptos" w:cs="Times New Roman"/>
              </w:rPr>
              <w:t>Autism Service Evaluations (see codes above)</w:t>
            </w:r>
          </w:p>
        </w:tc>
        <w:tc>
          <w:tcPr>
            <w:tcW w:w="1734" w:type="dxa"/>
          </w:tcPr>
          <w:p w14:paraId="5B699D94" w14:textId="28104085" w:rsidR="005646EA" w:rsidRPr="005646EA" w:rsidRDefault="007848AD" w:rsidP="00564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Children and Youth</w:t>
            </w:r>
          </w:p>
        </w:tc>
        <w:tc>
          <w:tcPr>
            <w:tcW w:w="1819" w:type="dxa"/>
          </w:tcPr>
          <w:p w14:paraId="7DCF2F9F" w14:textId="77777777" w:rsidR="005646EA" w:rsidRPr="005646EA" w:rsidRDefault="005646EA" w:rsidP="00564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Times New Roman"/>
              </w:rPr>
            </w:pPr>
          </w:p>
        </w:tc>
        <w:tc>
          <w:tcPr>
            <w:tcW w:w="1889" w:type="dxa"/>
          </w:tcPr>
          <w:p w14:paraId="1062E671" w14:textId="77777777" w:rsidR="005646EA" w:rsidRPr="005646EA" w:rsidRDefault="005646EA" w:rsidP="00564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Times New Roman"/>
              </w:rPr>
            </w:pPr>
            <w:r w:rsidRPr="005646EA">
              <w:rPr>
                <w:rFonts w:ascii="Wingdings" w:eastAsia="Times New Roman" w:hAnsi="Wingdings" w:cs="Calibri"/>
                <w:color w:val="000000"/>
                <w:kern w:val="0"/>
                <w:sz w:val="44"/>
                <w:szCs w:val="44"/>
                <w14:ligatures w14:val="none"/>
              </w:rPr>
              <w:t>ü</w:t>
            </w:r>
          </w:p>
        </w:tc>
      </w:tr>
      <w:tr w:rsidR="005646EA" w:rsidRPr="005646EA" w14:paraId="15E6054A" w14:textId="77777777" w:rsidTr="00F24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8" w:type="dxa"/>
          </w:tcPr>
          <w:p w14:paraId="595C5A92" w14:textId="77777777" w:rsidR="005646EA" w:rsidRPr="005646EA" w:rsidRDefault="005646EA" w:rsidP="005646EA">
            <w:pPr>
              <w:jc w:val="center"/>
              <w:rPr>
                <w:rFonts w:ascii="Aptos" w:eastAsia="Aptos" w:hAnsi="Aptos" w:cs="Times New Roman"/>
              </w:rPr>
            </w:pPr>
            <w:r w:rsidRPr="005646EA">
              <w:rPr>
                <w:rFonts w:ascii="Aptos" w:eastAsia="Aptos" w:hAnsi="Aptos" w:cs="Times New Roman"/>
              </w:rPr>
              <w:t>Autism Services (97153, 97154)</w:t>
            </w:r>
          </w:p>
        </w:tc>
        <w:tc>
          <w:tcPr>
            <w:tcW w:w="1734" w:type="dxa"/>
          </w:tcPr>
          <w:p w14:paraId="470B8501" w14:textId="1288017D" w:rsidR="005646EA" w:rsidRPr="005646EA" w:rsidRDefault="007848AD" w:rsidP="00564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Children and Youth</w:t>
            </w:r>
          </w:p>
        </w:tc>
        <w:tc>
          <w:tcPr>
            <w:tcW w:w="1819" w:type="dxa"/>
          </w:tcPr>
          <w:p w14:paraId="1FFA5BC5" w14:textId="77777777" w:rsidR="005646EA" w:rsidRPr="005646EA" w:rsidRDefault="005646EA" w:rsidP="00564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Times New Roman"/>
              </w:rPr>
            </w:pPr>
          </w:p>
        </w:tc>
        <w:tc>
          <w:tcPr>
            <w:tcW w:w="1889" w:type="dxa"/>
          </w:tcPr>
          <w:p w14:paraId="629F5753" w14:textId="77777777" w:rsidR="005646EA" w:rsidRPr="005646EA" w:rsidRDefault="005646EA" w:rsidP="00564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Times New Roman"/>
              </w:rPr>
            </w:pPr>
            <w:r w:rsidRPr="005646EA">
              <w:rPr>
                <w:rFonts w:ascii="Wingdings" w:eastAsia="Times New Roman" w:hAnsi="Wingdings" w:cs="Calibri"/>
                <w:color w:val="000000"/>
                <w:kern w:val="0"/>
                <w:sz w:val="44"/>
                <w:szCs w:val="44"/>
                <w14:ligatures w14:val="none"/>
              </w:rPr>
              <w:t>ü</w:t>
            </w:r>
          </w:p>
        </w:tc>
      </w:tr>
      <w:tr w:rsidR="005646EA" w:rsidRPr="005646EA" w14:paraId="7E2A20D3" w14:textId="77777777" w:rsidTr="00F24B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8" w:type="dxa"/>
          </w:tcPr>
          <w:p w14:paraId="34659E35" w14:textId="77777777" w:rsidR="005646EA" w:rsidRPr="005646EA" w:rsidRDefault="005646EA" w:rsidP="005646EA">
            <w:pPr>
              <w:jc w:val="center"/>
              <w:rPr>
                <w:rFonts w:ascii="Aptos" w:eastAsia="Aptos" w:hAnsi="Aptos" w:cs="Times New Roman"/>
              </w:rPr>
            </w:pPr>
            <w:r w:rsidRPr="005646EA">
              <w:rPr>
                <w:rFonts w:ascii="Aptos" w:eastAsia="Aptos" w:hAnsi="Aptos" w:cs="Times New Roman"/>
              </w:rPr>
              <w:t>Autism Services (97151, 97155, 97156, 97157, 97158, 0373T)</w:t>
            </w:r>
          </w:p>
        </w:tc>
        <w:tc>
          <w:tcPr>
            <w:tcW w:w="1734" w:type="dxa"/>
          </w:tcPr>
          <w:p w14:paraId="3973252E" w14:textId="06ADE3B8" w:rsidR="005646EA" w:rsidRPr="005646EA" w:rsidRDefault="007848AD" w:rsidP="00564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Children and Youth</w:t>
            </w:r>
          </w:p>
        </w:tc>
        <w:tc>
          <w:tcPr>
            <w:tcW w:w="1819" w:type="dxa"/>
          </w:tcPr>
          <w:p w14:paraId="11662BF5" w14:textId="77777777" w:rsidR="005646EA" w:rsidRPr="005646EA" w:rsidRDefault="005646EA" w:rsidP="00564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Times New Roman"/>
              </w:rPr>
            </w:pPr>
          </w:p>
        </w:tc>
        <w:tc>
          <w:tcPr>
            <w:tcW w:w="1889" w:type="dxa"/>
          </w:tcPr>
          <w:p w14:paraId="17B10C1B" w14:textId="77777777" w:rsidR="005646EA" w:rsidRPr="005646EA" w:rsidRDefault="005646EA" w:rsidP="00564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Times New Roman"/>
              </w:rPr>
            </w:pPr>
            <w:r w:rsidRPr="005646EA">
              <w:rPr>
                <w:rFonts w:ascii="Wingdings" w:eastAsia="Times New Roman" w:hAnsi="Wingdings" w:cs="Calibri"/>
                <w:color w:val="000000"/>
                <w:kern w:val="0"/>
                <w:sz w:val="44"/>
                <w:szCs w:val="44"/>
                <w14:ligatures w14:val="none"/>
              </w:rPr>
              <w:t>ü</w:t>
            </w:r>
          </w:p>
        </w:tc>
      </w:tr>
      <w:tr w:rsidR="001301B8" w:rsidRPr="005646EA" w14:paraId="2024E5E8" w14:textId="77777777" w:rsidTr="00F24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8" w:type="dxa"/>
          </w:tcPr>
          <w:p w14:paraId="5ADBF9A5" w14:textId="3F296391" w:rsidR="001301B8" w:rsidRPr="005646EA" w:rsidRDefault="001301B8" w:rsidP="005646EA">
            <w:pPr>
              <w:jc w:val="center"/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 xml:space="preserve">Partial Hospitalization Programs </w:t>
            </w:r>
          </w:p>
        </w:tc>
        <w:tc>
          <w:tcPr>
            <w:tcW w:w="1734" w:type="dxa"/>
          </w:tcPr>
          <w:p w14:paraId="44050E1A" w14:textId="5805AC03" w:rsidR="001301B8" w:rsidRPr="005646EA" w:rsidRDefault="001301B8" w:rsidP="00564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Adult/</w:t>
            </w:r>
            <w:r w:rsidR="007848AD">
              <w:rPr>
                <w:rFonts w:ascii="Aptos" w:eastAsia="Aptos" w:hAnsi="Aptos" w:cs="Times New Roman"/>
              </w:rPr>
              <w:t>Children and Youth</w:t>
            </w:r>
          </w:p>
        </w:tc>
        <w:tc>
          <w:tcPr>
            <w:tcW w:w="1819" w:type="dxa"/>
          </w:tcPr>
          <w:p w14:paraId="10FAC926" w14:textId="51D2C208" w:rsidR="001301B8" w:rsidRPr="005646EA" w:rsidRDefault="001301B8" w:rsidP="00564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Times New Roman"/>
              </w:rPr>
            </w:pPr>
            <w:r w:rsidRPr="005646EA">
              <w:rPr>
                <w:rFonts w:ascii="Wingdings" w:eastAsia="Times New Roman" w:hAnsi="Wingdings" w:cs="Calibri"/>
                <w:color w:val="000000"/>
                <w:kern w:val="0"/>
                <w:sz w:val="44"/>
                <w:szCs w:val="44"/>
                <w14:ligatures w14:val="none"/>
              </w:rPr>
              <w:t>ü</w:t>
            </w:r>
          </w:p>
        </w:tc>
        <w:tc>
          <w:tcPr>
            <w:tcW w:w="1889" w:type="dxa"/>
          </w:tcPr>
          <w:p w14:paraId="00037825" w14:textId="77777777" w:rsidR="001301B8" w:rsidRPr="005646EA" w:rsidRDefault="001301B8" w:rsidP="00564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Calibri"/>
                <w:color w:val="000000"/>
                <w:kern w:val="0"/>
                <w:sz w:val="44"/>
                <w:szCs w:val="44"/>
                <w14:ligatures w14:val="none"/>
              </w:rPr>
            </w:pPr>
          </w:p>
        </w:tc>
      </w:tr>
      <w:tr w:rsidR="001301B8" w:rsidRPr="005646EA" w14:paraId="52083E43" w14:textId="77777777" w:rsidTr="00F24B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8" w:type="dxa"/>
          </w:tcPr>
          <w:p w14:paraId="2905BA2D" w14:textId="5BFC423B" w:rsidR="001301B8" w:rsidRPr="005646EA" w:rsidRDefault="001301B8" w:rsidP="005646EA">
            <w:pPr>
              <w:jc w:val="center"/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Targeted Case Management</w:t>
            </w:r>
          </w:p>
        </w:tc>
        <w:tc>
          <w:tcPr>
            <w:tcW w:w="1734" w:type="dxa"/>
          </w:tcPr>
          <w:p w14:paraId="5BC4126F" w14:textId="6CA4C255" w:rsidR="001301B8" w:rsidRPr="005646EA" w:rsidRDefault="001301B8" w:rsidP="00564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Adult/</w:t>
            </w:r>
            <w:r w:rsidR="007848AD">
              <w:rPr>
                <w:rFonts w:ascii="Aptos" w:eastAsia="Aptos" w:hAnsi="Aptos" w:cs="Times New Roman"/>
              </w:rPr>
              <w:t>Children and Youth</w:t>
            </w:r>
          </w:p>
        </w:tc>
        <w:tc>
          <w:tcPr>
            <w:tcW w:w="1819" w:type="dxa"/>
          </w:tcPr>
          <w:p w14:paraId="0C040E1C" w14:textId="77777777" w:rsidR="001301B8" w:rsidRPr="005646EA" w:rsidRDefault="001301B8" w:rsidP="00564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Times New Roman"/>
              </w:rPr>
            </w:pPr>
          </w:p>
        </w:tc>
        <w:tc>
          <w:tcPr>
            <w:tcW w:w="1889" w:type="dxa"/>
          </w:tcPr>
          <w:p w14:paraId="129DFD39" w14:textId="7C2AB652" w:rsidR="001301B8" w:rsidRPr="005646EA" w:rsidRDefault="00623196" w:rsidP="00564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color w:val="000000"/>
                <w:kern w:val="0"/>
                <w:sz w:val="44"/>
                <w:szCs w:val="44"/>
                <w14:ligatures w14:val="none"/>
              </w:rPr>
            </w:pPr>
            <w:r w:rsidRPr="005646EA">
              <w:rPr>
                <w:rFonts w:ascii="Wingdings" w:eastAsia="Times New Roman" w:hAnsi="Wingdings" w:cs="Calibri"/>
                <w:color w:val="000000"/>
                <w:kern w:val="0"/>
                <w:sz w:val="44"/>
                <w:szCs w:val="44"/>
                <w14:ligatures w14:val="none"/>
              </w:rPr>
              <w:t>ü</w:t>
            </w:r>
          </w:p>
        </w:tc>
      </w:tr>
      <w:tr w:rsidR="00623196" w:rsidRPr="005646EA" w14:paraId="5831CE79" w14:textId="77777777" w:rsidTr="00F24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8" w:type="dxa"/>
          </w:tcPr>
          <w:p w14:paraId="4B7D3B7D" w14:textId="6C281601" w:rsidR="00623196" w:rsidRDefault="00623196" w:rsidP="005646EA">
            <w:pPr>
              <w:jc w:val="center"/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Pre-Admission Screen</w:t>
            </w:r>
          </w:p>
        </w:tc>
        <w:tc>
          <w:tcPr>
            <w:tcW w:w="1734" w:type="dxa"/>
          </w:tcPr>
          <w:p w14:paraId="1E60151C" w14:textId="07C02F84" w:rsidR="00623196" w:rsidRDefault="00623196" w:rsidP="00564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Adult/</w:t>
            </w:r>
            <w:r w:rsidR="007848AD">
              <w:rPr>
                <w:rFonts w:ascii="Aptos" w:eastAsia="Aptos" w:hAnsi="Aptos" w:cs="Times New Roman"/>
              </w:rPr>
              <w:t>Children and Youth</w:t>
            </w:r>
          </w:p>
        </w:tc>
        <w:tc>
          <w:tcPr>
            <w:tcW w:w="1819" w:type="dxa"/>
          </w:tcPr>
          <w:p w14:paraId="13C35C03" w14:textId="77777777" w:rsidR="00623196" w:rsidRDefault="00623196" w:rsidP="00564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Times New Roman"/>
              </w:rPr>
            </w:pPr>
          </w:p>
          <w:p w14:paraId="67169FD2" w14:textId="1919DDD3" w:rsidR="003C3D8D" w:rsidRPr="003C3D8D" w:rsidRDefault="003C3D8D" w:rsidP="003C3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Times New Roman"/>
              </w:rPr>
            </w:pPr>
          </w:p>
        </w:tc>
        <w:tc>
          <w:tcPr>
            <w:tcW w:w="1889" w:type="dxa"/>
          </w:tcPr>
          <w:p w14:paraId="69FE3485" w14:textId="2793FC54" w:rsidR="00623196" w:rsidRPr="005646EA" w:rsidRDefault="00EA5188" w:rsidP="00564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eastAsia="Times New Roman" w:hAnsi="Wingdings" w:cs="Calibri"/>
                <w:color w:val="000000"/>
                <w:kern w:val="0"/>
                <w:sz w:val="44"/>
                <w:szCs w:val="44"/>
                <w14:ligatures w14:val="none"/>
              </w:rPr>
            </w:pPr>
            <w:r w:rsidRPr="00EA5188">
              <w:rPr>
                <w:rFonts w:ascii="Wingdings" w:eastAsia="Times New Roman" w:hAnsi="Wingdings" w:cs="Calibri"/>
                <w:color w:val="000000"/>
                <w:kern w:val="0"/>
                <w:sz w:val="44"/>
                <w:szCs w:val="44"/>
                <w14:ligatures w14:val="none"/>
              </w:rPr>
              <w:t>ü</w:t>
            </w:r>
          </w:p>
        </w:tc>
      </w:tr>
      <w:tr w:rsidR="00F24BA2" w:rsidRPr="005646EA" w14:paraId="21DDFB48" w14:textId="77777777" w:rsidTr="00F24B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8" w:type="dxa"/>
          </w:tcPr>
          <w:p w14:paraId="16CA07FD" w14:textId="77777777" w:rsidR="00F24BA2" w:rsidRDefault="00F24BA2" w:rsidP="005646EA">
            <w:pPr>
              <w:jc w:val="center"/>
              <w:rPr>
                <w:rFonts w:ascii="Aptos" w:eastAsia="Aptos" w:hAnsi="Aptos" w:cs="Times New Roman"/>
                <w:b w:val="0"/>
                <w:bCs w:val="0"/>
              </w:rPr>
            </w:pPr>
            <w:r>
              <w:rPr>
                <w:rFonts w:ascii="Aptos" w:eastAsia="Aptos" w:hAnsi="Aptos" w:cs="Times New Roman"/>
              </w:rPr>
              <w:t>Outpatient Clinical Mental Health</w:t>
            </w:r>
            <w:r w:rsidR="007A6701">
              <w:rPr>
                <w:rFonts w:ascii="Aptos" w:eastAsia="Aptos" w:hAnsi="Aptos" w:cs="Times New Roman"/>
              </w:rPr>
              <w:t xml:space="preserve"> </w:t>
            </w:r>
          </w:p>
          <w:p w14:paraId="45425D68" w14:textId="3B59BE39" w:rsidR="007A6701" w:rsidRDefault="007A6701" w:rsidP="005646EA">
            <w:pPr>
              <w:jc w:val="center"/>
              <w:rPr>
                <w:rFonts w:ascii="Aptos" w:eastAsia="Aptos" w:hAnsi="Aptos" w:cs="Times New Roman"/>
              </w:rPr>
            </w:pPr>
            <w:r>
              <w:rPr>
                <w:sz w:val="22"/>
                <w:szCs w:val="22"/>
              </w:rPr>
              <w:t>(</w:t>
            </w:r>
            <w:r w:rsidRPr="00AF6AA1">
              <w:t>90832</w:t>
            </w:r>
            <w:r>
              <w:t>, 9083</w:t>
            </w:r>
            <w:r w:rsidR="00D84A40">
              <w:t>4</w:t>
            </w:r>
            <w:r>
              <w:t>, 9083</w:t>
            </w:r>
            <w:r w:rsidR="00D84A40">
              <w:t>7</w:t>
            </w:r>
            <w:r>
              <w:t>)</w:t>
            </w:r>
          </w:p>
        </w:tc>
        <w:tc>
          <w:tcPr>
            <w:tcW w:w="1734" w:type="dxa"/>
          </w:tcPr>
          <w:p w14:paraId="1E062597" w14:textId="599732A6" w:rsidR="00F24BA2" w:rsidRDefault="00F24BA2" w:rsidP="00564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Adult/Children and Youth</w:t>
            </w:r>
          </w:p>
        </w:tc>
        <w:tc>
          <w:tcPr>
            <w:tcW w:w="1819" w:type="dxa"/>
          </w:tcPr>
          <w:p w14:paraId="6CDCDE48" w14:textId="51519870" w:rsidR="00F24BA2" w:rsidRDefault="00F24BA2" w:rsidP="00564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Times New Roman"/>
              </w:rPr>
            </w:pPr>
            <w:r w:rsidRPr="005646EA">
              <w:rPr>
                <w:rFonts w:ascii="Wingdings" w:eastAsia="Times New Roman" w:hAnsi="Wingdings" w:cs="Calibri"/>
                <w:color w:val="000000"/>
                <w:kern w:val="0"/>
                <w:sz w:val="44"/>
                <w:szCs w:val="44"/>
                <w14:ligatures w14:val="none"/>
              </w:rPr>
              <w:t>ü</w:t>
            </w:r>
          </w:p>
        </w:tc>
        <w:tc>
          <w:tcPr>
            <w:tcW w:w="1889" w:type="dxa"/>
          </w:tcPr>
          <w:p w14:paraId="7048547C" w14:textId="77777777" w:rsidR="00F24BA2" w:rsidRPr="00EA5188" w:rsidRDefault="00F24BA2" w:rsidP="00564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color w:val="000000"/>
                <w:kern w:val="0"/>
                <w:sz w:val="44"/>
                <w:szCs w:val="44"/>
                <w14:ligatures w14:val="none"/>
              </w:rPr>
            </w:pPr>
          </w:p>
        </w:tc>
      </w:tr>
    </w:tbl>
    <w:p w14:paraId="78BFD0E7" w14:textId="77777777" w:rsidR="005D0BAE" w:rsidRDefault="005D0BAE" w:rsidP="003C3D8D">
      <w:pPr>
        <w:spacing w:after="0"/>
        <w:rPr>
          <w:sz w:val="22"/>
          <w:szCs w:val="22"/>
        </w:rPr>
      </w:pPr>
    </w:p>
    <w:sectPr w:rsidR="005D0BAE" w:rsidSect="00E757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11A24" w14:textId="77777777" w:rsidR="003864D8" w:rsidRDefault="003864D8" w:rsidP="00DE0299">
      <w:pPr>
        <w:spacing w:after="0" w:line="240" w:lineRule="auto"/>
      </w:pPr>
      <w:r>
        <w:separator/>
      </w:r>
    </w:p>
  </w:endnote>
  <w:endnote w:type="continuationSeparator" w:id="0">
    <w:p w14:paraId="4211CB77" w14:textId="77777777" w:rsidR="003864D8" w:rsidRDefault="003864D8" w:rsidP="00DE0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7A374" w14:textId="77777777" w:rsidR="00A94648" w:rsidRDefault="00A946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E8844" w14:textId="77777777" w:rsidR="00E757AF" w:rsidRPr="00E757AF" w:rsidRDefault="00E757AF" w:rsidP="00E757AF">
    <w:pPr>
      <w:pStyle w:val="Footer"/>
      <w:numPr>
        <w:ilvl w:val="0"/>
        <w:numId w:val="3"/>
      </w:numPr>
      <w:rPr>
        <w:sz w:val="20"/>
        <w:szCs w:val="20"/>
      </w:rPr>
    </w:pPr>
    <w:r w:rsidRPr="00E757AF">
      <w:rPr>
        <w:sz w:val="20"/>
        <w:szCs w:val="20"/>
      </w:rPr>
      <w:t>US Census Bureau 2020 Decennial Population Data</w:t>
    </w:r>
  </w:p>
  <w:p w14:paraId="42D86F8E" w14:textId="2F0F22F9" w:rsidR="00576A4E" w:rsidRPr="00E757AF" w:rsidRDefault="00576A4E">
    <w:pPr>
      <w:pStyle w:val="Footer"/>
      <w:numPr>
        <w:ilvl w:val="0"/>
        <w:numId w:val="3"/>
      </w:numPr>
    </w:pPr>
    <w:r w:rsidRPr="00B74BFB">
      <w:rPr>
        <w:sz w:val="20"/>
        <w:szCs w:val="20"/>
      </w:rPr>
      <w:t>42 CFR 422.116</w:t>
    </w:r>
    <w:r w:rsidR="00C426F3">
      <w:rPr>
        <w:sz w:val="20"/>
        <w:szCs w:val="20"/>
      </w:rPr>
      <w:t xml:space="preserve"> </w:t>
    </w:r>
  </w:p>
  <w:p w14:paraId="4620EC72" w14:textId="6BA8F9FE" w:rsidR="00E031A6" w:rsidRPr="00E757AF" w:rsidRDefault="00E031A6" w:rsidP="00E757AF">
    <w:pPr>
      <w:pStyle w:val="Footer"/>
      <w:ind w:left="720"/>
      <w:jc w:val="center"/>
      <w:rPr>
        <w:sz w:val="20"/>
        <w:szCs w:val="20"/>
      </w:rPr>
    </w:pPr>
    <w:r w:rsidRPr="00E031A6">
      <w:rPr>
        <w:color w:val="7F7F7F" w:themeColor="background1" w:themeShade="7F"/>
        <w:spacing w:val="60"/>
        <w:sz w:val="20"/>
        <w:szCs w:val="20"/>
      </w:rPr>
      <w:t>Page</w:t>
    </w:r>
    <w:r w:rsidRPr="00E031A6">
      <w:rPr>
        <w:sz w:val="20"/>
        <w:szCs w:val="20"/>
      </w:rPr>
      <w:t xml:space="preserve"> | </w:t>
    </w:r>
    <w:r w:rsidRPr="00E031A6">
      <w:rPr>
        <w:sz w:val="20"/>
        <w:szCs w:val="20"/>
      </w:rPr>
      <w:fldChar w:fldCharType="begin"/>
    </w:r>
    <w:r w:rsidRPr="00E031A6">
      <w:rPr>
        <w:sz w:val="20"/>
        <w:szCs w:val="20"/>
      </w:rPr>
      <w:instrText xml:space="preserve"> PAGE   \* MERGEFORMAT </w:instrText>
    </w:r>
    <w:r w:rsidRPr="00E031A6">
      <w:rPr>
        <w:sz w:val="20"/>
        <w:szCs w:val="20"/>
      </w:rPr>
      <w:fldChar w:fldCharType="separate"/>
    </w:r>
    <w:r w:rsidRPr="00E031A6">
      <w:rPr>
        <w:b/>
        <w:bCs/>
        <w:noProof/>
        <w:sz w:val="20"/>
        <w:szCs w:val="20"/>
      </w:rPr>
      <w:t>1</w:t>
    </w:r>
    <w:r w:rsidRPr="00E031A6">
      <w:rPr>
        <w:b/>
        <w:bCs/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10726" w14:textId="77777777" w:rsidR="00A94648" w:rsidRDefault="00A946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7929D" w14:textId="77777777" w:rsidR="003864D8" w:rsidRDefault="003864D8" w:rsidP="00DE0299">
      <w:pPr>
        <w:spacing w:after="0" w:line="240" w:lineRule="auto"/>
      </w:pPr>
      <w:r>
        <w:separator/>
      </w:r>
    </w:p>
  </w:footnote>
  <w:footnote w:type="continuationSeparator" w:id="0">
    <w:p w14:paraId="661D2139" w14:textId="77777777" w:rsidR="003864D8" w:rsidRDefault="003864D8" w:rsidP="00DE0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DD0AE" w14:textId="59B029E4" w:rsidR="00A94648" w:rsidRDefault="00134589">
    <w:pPr>
      <w:pStyle w:val="Header"/>
    </w:pPr>
    <w:r>
      <w:rPr>
        <w:noProof/>
      </w:rPr>
      <w:pict w14:anchorId="618C2D3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4092782" o:spid="_x0000_s1026" type="#_x0000_t136" style="position:absolute;margin-left:0;margin-top:0;width:412.4pt;height:247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3489E" w14:textId="09ED0131" w:rsidR="00DE0299" w:rsidRDefault="00134589">
    <w:pPr>
      <w:pStyle w:val="Header"/>
    </w:pPr>
    <w:r>
      <w:rPr>
        <w:noProof/>
      </w:rPr>
      <w:pict w14:anchorId="2A8D4DC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4092783" o:spid="_x0000_s1027" type="#_x0000_t136" style="position:absolute;margin-left:0;margin-top:0;width:412.4pt;height:247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255DC7">
      <w:t>H</w:t>
    </w:r>
    <w:r w:rsidR="00624A4E">
      <w:t xml:space="preserve">ealth Services </w:t>
    </w:r>
    <w:r w:rsidR="00DE0299">
      <w:tab/>
    </w:r>
    <w:r w:rsidR="00DE0299">
      <w:tab/>
    </w:r>
    <w:r w:rsidR="00E37452">
      <w:t>January</w:t>
    </w:r>
    <w:r w:rsidR="00624A4E">
      <w:t xml:space="preserve"> </w:t>
    </w:r>
    <w:r w:rsidR="00E37452">
      <w:t>30</w:t>
    </w:r>
    <w:r w:rsidR="00624A4E">
      <w:t>, 202</w:t>
    </w:r>
    <w:r w:rsidR="00E37452">
      <w:t>6</w:t>
    </w:r>
    <w:r w:rsidR="006C72BB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4E019" w14:textId="16822F66" w:rsidR="00A94648" w:rsidRDefault="00134589">
    <w:pPr>
      <w:pStyle w:val="Header"/>
    </w:pPr>
    <w:r>
      <w:rPr>
        <w:noProof/>
      </w:rPr>
      <w:pict w14:anchorId="3D3ADEC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4092781" o:spid="_x0000_s1025" type="#_x0000_t136" style="position:absolute;margin-left:0;margin-top:0;width:412.4pt;height:247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B3D07"/>
    <w:multiLevelType w:val="hybridMultilevel"/>
    <w:tmpl w:val="C9BCED0C"/>
    <w:lvl w:ilvl="0" w:tplc="74D6D534">
      <w:start w:val="1"/>
      <w:numFmt w:val="lowerLetter"/>
      <w:lvlText w:val="%1."/>
      <w:lvlJc w:val="left"/>
      <w:pPr>
        <w:ind w:left="1871" w:hanging="361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73C9A"/>
    <w:multiLevelType w:val="hybridMultilevel"/>
    <w:tmpl w:val="8952A64E"/>
    <w:lvl w:ilvl="0" w:tplc="04090001">
      <w:start w:val="1"/>
      <w:numFmt w:val="bullet"/>
      <w:lvlText w:val=""/>
      <w:lvlJc w:val="left"/>
      <w:pPr>
        <w:ind w:left="31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91" w:hanging="360"/>
      </w:pPr>
      <w:rPr>
        <w:rFonts w:ascii="Wingdings" w:hAnsi="Wingdings" w:hint="default"/>
      </w:rPr>
    </w:lvl>
  </w:abstractNum>
  <w:abstractNum w:abstractNumId="2" w15:restartNumberingAfterBreak="0">
    <w:nsid w:val="29D915A3"/>
    <w:multiLevelType w:val="hybridMultilevel"/>
    <w:tmpl w:val="C01A4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5498B"/>
    <w:multiLevelType w:val="hybridMultilevel"/>
    <w:tmpl w:val="E2625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D54929"/>
    <w:multiLevelType w:val="hybridMultilevel"/>
    <w:tmpl w:val="8F308C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FB390A"/>
    <w:multiLevelType w:val="hybridMultilevel"/>
    <w:tmpl w:val="06C4C620"/>
    <w:lvl w:ilvl="0" w:tplc="FFFFFFFF">
      <w:start w:val="1"/>
      <w:numFmt w:val="lowerRoman"/>
      <w:lvlText w:val="%1."/>
      <w:lvlJc w:val="left"/>
      <w:pPr>
        <w:ind w:left="2411" w:hanging="27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87E6D"/>
    <w:multiLevelType w:val="hybridMultilevel"/>
    <w:tmpl w:val="E4B0E3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BF44138"/>
    <w:multiLevelType w:val="hybridMultilevel"/>
    <w:tmpl w:val="7EB08FD2"/>
    <w:lvl w:ilvl="0" w:tplc="0C580A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1A0943"/>
    <w:multiLevelType w:val="hybridMultilevel"/>
    <w:tmpl w:val="33247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1A5384"/>
    <w:multiLevelType w:val="hybridMultilevel"/>
    <w:tmpl w:val="8BA02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6470868">
    <w:abstractNumId w:val="4"/>
  </w:num>
  <w:num w:numId="2" w16cid:durableId="466895107">
    <w:abstractNumId w:val="2"/>
  </w:num>
  <w:num w:numId="3" w16cid:durableId="662006487">
    <w:abstractNumId w:val="8"/>
  </w:num>
  <w:num w:numId="4" w16cid:durableId="133566086">
    <w:abstractNumId w:val="6"/>
  </w:num>
  <w:num w:numId="5" w16cid:durableId="1540511679">
    <w:abstractNumId w:val="0"/>
  </w:num>
  <w:num w:numId="6" w16cid:durableId="94178621">
    <w:abstractNumId w:val="5"/>
  </w:num>
  <w:num w:numId="7" w16cid:durableId="607394727">
    <w:abstractNumId w:val="1"/>
  </w:num>
  <w:num w:numId="8" w16cid:durableId="1565027583">
    <w:abstractNumId w:val="3"/>
  </w:num>
  <w:num w:numId="9" w16cid:durableId="983899020">
    <w:abstractNumId w:val="7"/>
  </w:num>
  <w:num w:numId="10" w16cid:durableId="13382700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99"/>
    <w:rsid w:val="000106D2"/>
    <w:rsid w:val="000273CB"/>
    <w:rsid w:val="000331FC"/>
    <w:rsid w:val="000351AC"/>
    <w:rsid w:val="00041073"/>
    <w:rsid w:val="000473CB"/>
    <w:rsid w:val="000558EA"/>
    <w:rsid w:val="00062C17"/>
    <w:rsid w:val="00064F7F"/>
    <w:rsid w:val="00073E28"/>
    <w:rsid w:val="00076906"/>
    <w:rsid w:val="000806DE"/>
    <w:rsid w:val="00091152"/>
    <w:rsid w:val="000A06BE"/>
    <w:rsid w:val="000A3C8E"/>
    <w:rsid w:val="000B2CBD"/>
    <w:rsid w:val="000E1105"/>
    <w:rsid w:val="000E2B4C"/>
    <w:rsid w:val="000E767C"/>
    <w:rsid w:val="000F1FC1"/>
    <w:rsid w:val="000F7291"/>
    <w:rsid w:val="00111180"/>
    <w:rsid w:val="001170AA"/>
    <w:rsid w:val="00121A4E"/>
    <w:rsid w:val="001301B8"/>
    <w:rsid w:val="0013366E"/>
    <w:rsid w:val="00134589"/>
    <w:rsid w:val="00141136"/>
    <w:rsid w:val="00145159"/>
    <w:rsid w:val="00153B22"/>
    <w:rsid w:val="00163BB3"/>
    <w:rsid w:val="001670EF"/>
    <w:rsid w:val="001728CF"/>
    <w:rsid w:val="00186079"/>
    <w:rsid w:val="00186503"/>
    <w:rsid w:val="001A1111"/>
    <w:rsid w:val="001A1123"/>
    <w:rsid w:val="001A12DA"/>
    <w:rsid w:val="001A1DA1"/>
    <w:rsid w:val="001A262C"/>
    <w:rsid w:val="001B1EF7"/>
    <w:rsid w:val="001B70EC"/>
    <w:rsid w:val="001B74FE"/>
    <w:rsid w:val="001B78CE"/>
    <w:rsid w:val="001C35A8"/>
    <w:rsid w:val="001D74BF"/>
    <w:rsid w:val="001F2309"/>
    <w:rsid w:val="001F2756"/>
    <w:rsid w:val="00212B3E"/>
    <w:rsid w:val="00221F60"/>
    <w:rsid w:val="0023089C"/>
    <w:rsid w:val="00235B86"/>
    <w:rsid w:val="00254B54"/>
    <w:rsid w:val="00255DC7"/>
    <w:rsid w:val="0026174C"/>
    <w:rsid w:val="00262783"/>
    <w:rsid w:val="002661D6"/>
    <w:rsid w:val="002666D6"/>
    <w:rsid w:val="00266885"/>
    <w:rsid w:val="00266FD3"/>
    <w:rsid w:val="0027213D"/>
    <w:rsid w:val="00275671"/>
    <w:rsid w:val="002758EB"/>
    <w:rsid w:val="00276B36"/>
    <w:rsid w:val="00282270"/>
    <w:rsid w:val="00284D13"/>
    <w:rsid w:val="00287175"/>
    <w:rsid w:val="002967F3"/>
    <w:rsid w:val="002A3C9F"/>
    <w:rsid w:val="002B1314"/>
    <w:rsid w:val="002B503D"/>
    <w:rsid w:val="002C0C3F"/>
    <w:rsid w:val="002C23E5"/>
    <w:rsid w:val="002C7755"/>
    <w:rsid w:val="002D0354"/>
    <w:rsid w:val="002F2216"/>
    <w:rsid w:val="002F53FA"/>
    <w:rsid w:val="00305981"/>
    <w:rsid w:val="00315148"/>
    <w:rsid w:val="00361D84"/>
    <w:rsid w:val="00361EA8"/>
    <w:rsid w:val="00362FF3"/>
    <w:rsid w:val="00371123"/>
    <w:rsid w:val="00372A70"/>
    <w:rsid w:val="00373032"/>
    <w:rsid w:val="0037565E"/>
    <w:rsid w:val="00384710"/>
    <w:rsid w:val="003864D8"/>
    <w:rsid w:val="003A16CC"/>
    <w:rsid w:val="003A6796"/>
    <w:rsid w:val="003B3CC9"/>
    <w:rsid w:val="003B6A1E"/>
    <w:rsid w:val="003B6F2C"/>
    <w:rsid w:val="003C3D8D"/>
    <w:rsid w:val="003E17D2"/>
    <w:rsid w:val="003F1064"/>
    <w:rsid w:val="003F2341"/>
    <w:rsid w:val="003F77E4"/>
    <w:rsid w:val="0040328C"/>
    <w:rsid w:val="004061A0"/>
    <w:rsid w:val="004114E7"/>
    <w:rsid w:val="0042187F"/>
    <w:rsid w:val="00424457"/>
    <w:rsid w:val="00427FFD"/>
    <w:rsid w:val="00431F32"/>
    <w:rsid w:val="00434871"/>
    <w:rsid w:val="004521EC"/>
    <w:rsid w:val="00462B04"/>
    <w:rsid w:val="00467C65"/>
    <w:rsid w:val="004707B2"/>
    <w:rsid w:val="004855F8"/>
    <w:rsid w:val="0048622B"/>
    <w:rsid w:val="00495375"/>
    <w:rsid w:val="004966E4"/>
    <w:rsid w:val="004A749E"/>
    <w:rsid w:val="004B6F38"/>
    <w:rsid w:val="004C4455"/>
    <w:rsid w:val="004D733D"/>
    <w:rsid w:val="004E1183"/>
    <w:rsid w:val="00504ABC"/>
    <w:rsid w:val="00520C2E"/>
    <w:rsid w:val="00525A08"/>
    <w:rsid w:val="005336FD"/>
    <w:rsid w:val="00554B7B"/>
    <w:rsid w:val="005555AB"/>
    <w:rsid w:val="005646EA"/>
    <w:rsid w:val="00566EDA"/>
    <w:rsid w:val="00576A4E"/>
    <w:rsid w:val="0057751B"/>
    <w:rsid w:val="005826DB"/>
    <w:rsid w:val="005834ED"/>
    <w:rsid w:val="005924A4"/>
    <w:rsid w:val="00595B60"/>
    <w:rsid w:val="00597A3A"/>
    <w:rsid w:val="005A7A34"/>
    <w:rsid w:val="005B3A93"/>
    <w:rsid w:val="005B4640"/>
    <w:rsid w:val="005C0C2B"/>
    <w:rsid w:val="005C31AE"/>
    <w:rsid w:val="005C7F58"/>
    <w:rsid w:val="005D0BAE"/>
    <w:rsid w:val="005D3AB7"/>
    <w:rsid w:val="005E38AA"/>
    <w:rsid w:val="005E4D7B"/>
    <w:rsid w:val="005E5E63"/>
    <w:rsid w:val="0060081E"/>
    <w:rsid w:val="00613228"/>
    <w:rsid w:val="006167CC"/>
    <w:rsid w:val="00623196"/>
    <w:rsid w:val="00623F9E"/>
    <w:rsid w:val="0062441F"/>
    <w:rsid w:val="00624A4E"/>
    <w:rsid w:val="006276BB"/>
    <w:rsid w:val="00630701"/>
    <w:rsid w:val="006528E2"/>
    <w:rsid w:val="00655C6D"/>
    <w:rsid w:val="00663FD8"/>
    <w:rsid w:val="00672A9B"/>
    <w:rsid w:val="006769EE"/>
    <w:rsid w:val="006803CD"/>
    <w:rsid w:val="00687019"/>
    <w:rsid w:val="0069571A"/>
    <w:rsid w:val="006A6ECD"/>
    <w:rsid w:val="006B0D94"/>
    <w:rsid w:val="006B41ED"/>
    <w:rsid w:val="006C0A00"/>
    <w:rsid w:val="006C72BB"/>
    <w:rsid w:val="006D0D59"/>
    <w:rsid w:val="006E3206"/>
    <w:rsid w:val="00706238"/>
    <w:rsid w:val="00712B80"/>
    <w:rsid w:val="0071571C"/>
    <w:rsid w:val="00717803"/>
    <w:rsid w:val="007214BD"/>
    <w:rsid w:val="007277E3"/>
    <w:rsid w:val="00742623"/>
    <w:rsid w:val="00747210"/>
    <w:rsid w:val="00747A28"/>
    <w:rsid w:val="00752A9C"/>
    <w:rsid w:val="0075419E"/>
    <w:rsid w:val="00764DBA"/>
    <w:rsid w:val="0077279B"/>
    <w:rsid w:val="00773F8F"/>
    <w:rsid w:val="00775818"/>
    <w:rsid w:val="007776FE"/>
    <w:rsid w:val="00780B6A"/>
    <w:rsid w:val="007848AD"/>
    <w:rsid w:val="00786DA4"/>
    <w:rsid w:val="007A6701"/>
    <w:rsid w:val="007B2375"/>
    <w:rsid w:val="007B2A34"/>
    <w:rsid w:val="007B35B7"/>
    <w:rsid w:val="007B404B"/>
    <w:rsid w:val="007D2467"/>
    <w:rsid w:val="007D4C1D"/>
    <w:rsid w:val="007F18CA"/>
    <w:rsid w:val="007F1C67"/>
    <w:rsid w:val="00803B3C"/>
    <w:rsid w:val="00814523"/>
    <w:rsid w:val="00821AA1"/>
    <w:rsid w:val="00822BF3"/>
    <w:rsid w:val="00826410"/>
    <w:rsid w:val="00833C93"/>
    <w:rsid w:val="008460D6"/>
    <w:rsid w:val="00847023"/>
    <w:rsid w:val="00847327"/>
    <w:rsid w:val="00861A31"/>
    <w:rsid w:val="00861E45"/>
    <w:rsid w:val="00870F18"/>
    <w:rsid w:val="0087197D"/>
    <w:rsid w:val="0087751E"/>
    <w:rsid w:val="008835B5"/>
    <w:rsid w:val="00883CC0"/>
    <w:rsid w:val="00884F1B"/>
    <w:rsid w:val="00887656"/>
    <w:rsid w:val="008A05CE"/>
    <w:rsid w:val="008C5DF6"/>
    <w:rsid w:val="00900B11"/>
    <w:rsid w:val="00900E5A"/>
    <w:rsid w:val="00907F27"/>
    <w:rsid w:val="00915841"/>
    <w:rsid w:val="00916347"/>
    <w:rsid w:val="00921E74"/>
    <w:rsid w:val="00933346"/>
    <w:rsid w:val="00935B7F"/>
    <w:rsid w:val="00935CC3"/>
    <w:rsid w:val="00936B28"/>
    <w:rsid w:val="009425C9"/>
    <w:rsid w:val="00942BCF"/>
    <w:rsid w:val="009432BB"/>
    <w:rsid w:val="009570C3"/>
    <w:rsid w:val="009724A1"/>
    <w:rsid w:val="00976C56"/>
    <w:rsid w:val="009859DF"/>
    <w:rsid w:val="009A57F2"/>
    <w:rsid w:val="009A6057"/>
    <w:rsid w:val="009A71BC"/>
    <w:rsid w:val="009B0BA6"/>
    <w:rsid w:val="009C1D59"/>
    <w:rsid w:val="009D2167"/>
    <w:rsid w:val="00A153C2"/>
    <w:rsid w:val="00A17AD3"/>
    <w:rsid w:val="00A2294A"/>
    <w:rsid w:val="00A22D9C"/>
    <w:rsid w:val="00A313AF"/>
    <w:rsid w:val="00A320CF"/>
    <w:rsid w:val="00A330CB"/>
    <w:rsid w:val="00A402D5"/>
    <w:rsid w:val="00A61A96"/>
    <w:rsid w:val="00A632F5"/>
    <w:rsid w:val="00A643A2"/>
    <w:rsid w:val="00A6757A"/>
    <w:rsid w:val="00A71026"/>
    <w:rsid w:val="00A90D10"/>
    <w:rsid w:val="00A93F98"/>
    <w:rsid w:val="00A94648"/>
    <w:rsid w:val="00A96D74"/>
    <w:rsid w:val="00AA4227"/>
    <w:rsid w:val="00AA603D"/>
    <w:rsid w:val="00AA6772"/>
    <w:rsid w:val="00AD0787"/>
    <w:rsid w:val="00AD194C"/>
    <w:rsid w:val="00AD3478"/>
    <w:rsid w:val="00AE0CEC"/>
    <w:rsid w:val="00AE5143"/>
    <w:rsid w:val="00AE7945"/>
    <w:rsid w:val="00AF6AA1"/>
    <w:rsid w:val="00AF6DA8"/>
    <w:rsid w:val="00B0579A"/>
    <w:rsid w:val="00B16BD0"/>
    <w:rsid w:val="00B357B1"/>
    <w:rsid w:val="00B5139F"/>
    <w:rsid w:val="00B521B7"/>
    <w:rsid w:val="00B57C00"/>
    <w:rsid w:val="00B64065"/>
    <w:rsid w:val="00B66E36"/>
    <w:rsid w:val="00B73ACA"/>
    <w:rsid w:val="00B74BFB"/>
    <w:rsid w:val="00B8400C"/>
    <w:rsid w:val="00B9128A"/>
    <w:rsid w:val="00B91D98"/>
    <w:rsid w:val="00B9296D"/>
    <w:rsid w:val="00BB1EFE"/>
    <w:rsid w:val="00BB276F"/>
    <w:rsid w:val="00BB6FD9"/>
    <w:rsid w:val="00BC2E6B"/>
    <w:rsid w:val="00BC335D"/>
    <w:rsid w:val="00BD56A5"/>
    <w:rsid w:val="00BE0027"/>
    <w:rsid w:val="00BE2C02"/>
    <w:rsid w:val="00C045AD"/>
    <w:rsid w:val="00C110EB"/>
    <w:rsid w:val="00C2234D"/>
    <w:rsid w:val="00C223D0"/>
    <w:rsid w:val="00C2589A"/>
    <w:rsid w:val="00C34B61"/>
    <w:rsid w:val="00C40578"/>
    <w:rsid w:val="00C426F3"/>
    <w:rsid w:val="00C475BB"/>
    <w:rsid w:val="00C47B11"/>
    <w:rsid w:val="00C8277B"/>
    <w:rsid w:val="00C83B88"/>
    <w:rsid w:val="00C96BA0"/>
    <w:rsid w:val="00C979A4"/>
    <w:rsid w:val="00CB197C"/>
    <w:rsid w:val="00CB4B93"/>
    <w:rsid w:val="00CB795C"/>
    <w:rsid w:val="00CE075C"/>
    <w:rsid w:val="00CE1936"/>
    <w:rsid w:val="00CF0E3C"/>
    <w:rsid w:val="00CF5CB0"/>
    <w:rsid w:val="00D153CD"/>
    <w:rsid w:val="00D260DC"/>
    <w:rsid w:val="00D263EE"/>
    <w:rsid w:val="00D3588A"/>
    <w:rsid w:val="00D440EE"/>
    <w:rsid w:val="00D571F0"/>
    <w:rsid w:val="00D743B1"/>
    <w:rsid w:val="00D77692"/>
    <w:rsid w:val="00D804B7"/>
    <w:rsid w:val="00D84A40"/>
    <w:rsid w:val="00D93297"/>
    <w:rsid w:val="00D948B7"/>
    <w:rsid w:val="00DA571C"/>
    <w:rsid w:val="00DB0DA8"/>
    <w:rsid w:val="00DC1745"/>
    <w:rsid w:val="00DC2804"/>
    <w:rsid w:val="00DC3AEA"/>
    <w:rsid w:val="00DC5DC2"/>
    <w:rsid w:val="00DD2EB4"/>
    <w:rsid w:val="00DE0299"/>
    <w:rsid w:val="00DE14E4"/>
    <w:rsid w:val="00DF1561"/>
    <w:rsid w:val="00DF30E2"/>
    <w:rsid w:val="00E031A6"/>
    <w:rsid w:val="00E052A0"/>
    <w:rsid w:val="00E07151"/>
    <w:rsid w:val="00E10A6F"/>
    <w:rsid w:val="00E169EB"/>
    <w:rsid w:val="00E24585"/>
    <w:rsid w:val="00E272F1"/>
    <w:rsid w:val="00E32AD1"/>
    <w:rsid w:val="00E37452"/>
    <w:rsid w:val="00E46EED"/>
    <w:rsid w:val="00E4710C"/>
    <w:rsid w:val="00E506AD"/>
    <w:rsid w:val="00E60643"/>
    <w:rsid w:val="00E62E7B"/>
    <w:rsid w:val="00E757AF"/>
    <w:rsid w:val="00E77F44"/>
    <w:rsid w:val="00E81284"/>
    <w:rsid w:val="00E87ED2"/>
    <w:rsid w:val="00E90EEE"/>
    <w:rsid w:val="00E93E4F"/>
    <w:rsid w:val="00EA5188"/>
    <w:rsid w:val="00EC06DD"/>
    <w:rsid w:val="00EC2277"/>
    <w:rsid w:val="00EC3644"/>
    <w:rsid w:val="00EE12B5"/>
    <w:rsid w:val="00EE269A"/>
    <w:rsid w:val="00EE3C1D"/>
    <w:rsid w:val="00EE7D85"/>
    <w:rsid w:val="00F12512"/>
    <w:rsid w:val="00F20DFC"/>
    <w:rsid w:val="00F20E09"/>
    <w:rsid w:val="00F24BA2"/>
    <w:rsid w:val="00F322BD"/>
    <w:rsid w:val="00F32459"/>
    <w:rsid w:val="00F406A4"/>
    <w:rsid w:val="00F42AFB"/>
    <w:rsid w:val="00F42C00"/>
    <w:rsid w:val="00F554F5"/>
    <w:rsid w:val="00F60ABD"/>
    <w:rsid w:val="00F65E5C"/>
    <w:rsid w:val="00F65F74"/>
    <w:rsid w:val="00F73C00"/>
    <w:rsid w:val="00FA0C48"/>
    <w:rsid w:val="00FA383E"/>
    <w:rsid w:val="00FB4C46"/>
    <w:rsid w:val="00FD133D"/>
    <w:rsid w:val="00FD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847AB4"/>
  <w15:chartTrackingRefBased/>
  <w15:docId w15:val="{2A14DC0C-B6D7-4F4F-B548-21666508B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02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02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02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02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02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02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02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02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02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02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02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02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02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02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02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02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02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02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02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02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02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02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02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02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02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02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02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02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029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E0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299"/>
  </w:style>
  <w:style w:type="paragraph" w:styleId="Footer">
    <w:name w:val="footer"/>
    <w:basedOn w:val="Normal"/>
    <w:link w:val="FooterChar"/>
    <w:uiPriority w:val="99"/>
    <w:unhideWhenUsed/>
    <w:rsid w:val="00DE0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299"/>
  </w:style>
  <w:style w:type="paragraph" w:styleId="Revision">
    <w:name w:val="Revision"/>
    <w:hidden/>
    <w:uiPriority w:val="99"/>
    <w:semiHidden/>
    <w:rsid w:val="00DE0299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DE029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DE0299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E0299"/>
    <w:pPr>
      <w:widowControl w:val="0"/>
      <w:autoSpaceDE w:val="0"/>
      <w:autoSpaceDN w:val="0"/>
      <w:spacing w:before="53" w:after="0" w:line="219" w:lineRule="exact"/>
      <w:ind w:left="110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860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60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60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0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079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74BF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4BF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74BFB"/>
    <w:rPr>
      <w:vertAlign w:val="superscript"/>
    </w:rPr>
  </w:style>
  <w:style w:type="table" w:styleId="ListTable4-Accent1">
    <w:name w:val="List Table 4 Accent 1"/>
    <w:basedOn w:val="TableNormal"/>
    <w:uiPriority w:val="49"/>
    <w:rsid w:val="005834ED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customStyle="1" w:styleId="GridTable4-Accent11">
    <w:name w:val="Grid Table 4 - Accent 11"/>
    <w:basedOn w:val="TableNormal"/>
    <w:next w:val="GridTable4-Accent1"/>
    <w:uiPriority w:val="49"/>
    <w:rsid w:val="005646EA"/>
    <w:pPr>
      <w:spacing w:after="0" w:line="240" w:lineRule="auto"/>
    </w:pPr>
    <w:tblPr>
      <w:tblStyleRowBandSize w:val="1"/>
      <w:tblStyleColBandSize w:val="1"/>
      <w:tblBorders>
        <w:top w:val="single" w:sz="4" w:space="0" w:color="45B0E1"/>
        <w:left w:val="single" w:sz="4" w:space="0" w:color="45B0E1"/>
        <w:bottom w:val="single" w:sz="4" w:space="0" w:color="45B0E1"/>
        <w:right w:val="single" w:sz="4" w:space="0" w:color="45B0E1"/>
        <w:insideH w:val="single" w:sz="4" w:space="0" w:color="45B0E1"/>
        <w:insideV w:val="single" w:sz="4" w:space="0" w:color="45B0E1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156082"/>
          <w:left w:val="single" w:sz="4" w:space="0" w:color="156082"/>
          <w:bottom w:val="single" w:sz="4" w:space="0" w:color="156082"/>
          <w:right w:val="single" w:sz="4" w:space="0" w:color="156082"/>
          <w:insideH w:val="nil"/>
          <w:insideV w:val="nil"/>
        </w:tcBorders>
        <w:shd w:val="clear" w:color="auto" w:fill="156082"/>
      </w:tcPr>
    </w:tblStylePr>
    <w:tblStylePr w:type="lastRow">
      <w:rPr>
        <w:b/>
        <w:bCs/>
      </w:rPr>
      <w:tblPr/>
      <w:tcPr>
        <w:tcBorders>
          <w:top w:val="double" w:sz="4" w:space="0" w:color="1560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/>
      </w:tcPr>
    </w:tblStylePr>
    <w:tblStylePr w:type="band1Horz">
      <w:tblPr/>
      <w:tcPr>
        <w:shd w:val="clear" w:color="auto" w:fill="C1E4F5"/>
      </w:tcPr>
    </w:tblStylePr>
  </w:style>
  <w:style w:type="table" w:styleId="GridTable4-Accent1">
    <w:name w:val="Grid Table 4 Accent 1"/>
    <w:basedOn w:val="TableNormal"/>
    <w:uiPriority w:val="49"/>
    <w:rsid w:val="005646EA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3-Accent1">
    <w:name w:val="List Table 3 Accent 1"/>
    <w:basedOn w:val="TableNormal"/>
    <w:uiPriority w:val="48"/>
    <w:rsid w:val="002967F3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504147DE0657468639366C7B3709B7" ma:contentTypeVersion="18" ma:contentTypeDescription="Create a new document." ma:contentTypeScope="" ma:versionID="8982f33a473aaefcb5bfb7c2594f62fe">
  <xsd:schema xmlns:xsd="http://www.w3.org/2001/XMLSchema" xmlns:xs="http://www.w3.org/2001/XMLSchema" xmlns:p="http://schemas.microsoft.com/office/2006/metadata/properties" xmlns:ns1="http://schemas.microsoft.com/sharepoint/v3" xmlns:ns2="ba9aee04-65c8-49f6-8046-33b677995f5a" xmlns:ns3="1b38b012-3e62-4e79-852e-ad27225e9223" targetNamespace="http://schemas.microsoft.com/office/2006/metadata/properties" ma:root="true" ma:fieldsID="debe50379017037494289e46340a3884" ns1:_="" ns2:_="" ns3:_="">
    <xsd:import namespace="http://schemas.microsoft.com/sharepoint/v3"/>
    <xsd:import namespace="ba9aee04-65c8-49f6-8046-33b677995f5a"/>
    <xsd:import namespace="1b38b012-3e62-4e79-852e-ad27225e92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aee04-65c8-49f6-8046-33b677995f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ed5b695-e991-44b1-a0f2-2e2337db76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8b012-3e62-4e79-852e-ad27225e922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507e77c-ee2d-4a02-9566-0814068dc37e}" ma:internalName="TaxCatchAll" ma:showField="CatchAllData" ma:web="1b38b012-3e62-4e79-852e-ad27225e9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38b012-3e62-4e79-852e-ad27225e9223" xsi:nil="true"/>
    <_ip_UnifiedCompliancePolicyUIAction xmlns="http://schemas.microsoft.com/sharepoint/v3" xsi:nil="true"/>
    <lcf76f155ced4ddcb4097134ff3c332f xmlns="ba9aee04-65c8-49f6-8046-33b677995f5a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6D4A0CB-2687-4C8E-A3CF-0C8C50D874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255D16-6C2F-4A2A-881C-D87C6F71FAFD}"/>
</file>

<file path=customXml/itemProps3.xml><?xml version="1.0" encoding="utf-8"?>
<ds:datastoreItem xmlns:ds="http://schemas.openxmlformats.org/officeDocument/2006/customXml" ds:itemID="{D9C611AE-FF27-43DC-9C21-5EDE12EEF929}"/>
</file>

<file path=customXml/itemProps4.xml><?xml version="1.0" encoding="utf-8"?>
<ds:datastoreItem xmlns:ds="http://schemas.openxmlformats.org/officeDocument/2006/customXml" ds:itemID="{B4AE4BFE-204B-400C-B4C0-09D406B82B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Pages>6</Pages>
  <Words>1816</Words>
  <Characters>10354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12146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Smolinski, Sally (DHHS)</dc:creator>
  <cp:keywords/>
  <dc:description/>
  <cp:lastModifiedBy>Winkworth, Rachel (DHHS)</cp:lastModifiedBy>
  <cp:revision>40</cp:revision>
  <cp:lastPrinted>2024-12-18T20:23:00Z</cp:lastPrinted>
  <dcterms:created xsi:type="dcterms:W3CDTF">2025-08-11T15:14:00Z</dcterms:created>
  <dcterms:modified xsi:type="dcterms:W3CDTF">2025-12-12T19:39:00Z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2024-11-21T15:02:17Z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d8e46fda-341c-4c25-b5e3-2fb6502e9959</vt:lpwstr>
  </property>
  <property fmtid="{D5CDD505-2E9C-101B-9397-08002B2CF9AE}" pid="8" name="MSIP_Label_3a2fed65-62e7-46ea-af74-187e0c17143a_ContentBits">
    <vt:lpwstr>0</vt:lpwstr>
  </property>
  <property fmtid="{D5CDD505-2E9C-101B-9397-08002B2CF9AE}" pid="9" name="ContentTypeId">
    <vt:lpwstr>0x0101007D504147DE0657468639366C7B3709B7</vt:lpwstr>
  </property>
</Properties>
</file>