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A18E6" w14:textId="2377A9D9" w:rsidR="00916120" w:rsidRPr="00916120" w:rsidRDefault="00985584" w:rsidP="00916120">
      <w:pPr>
        <w:pStyle w:val="Heading2"/>
        <w:pageBreakBefore/>
        <w:rPr>
          <w:sz w:val="28"/>
        </w:rPr>
      </w:pPr>
      <w:r w:rsidRPr="001408D5">
        <w:rPr>
          <w:sz w:val="28"/>
        </w:rPr>
        <w:t>Standard II—Emergency and Poststabilization Services</w:t>
      </w:r>
    </w:p>
    <w:tbl>
      <w:tblPr>
        <w:tblW w:w="14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475"/>
        <w:gridCol w:w="3960"/>
        <w:gridCol w:w="2160"/>
        <w:gridCol w:w="1416"/>
      </w:tblGrid>
      <w:tr w:rsidR="0065503C" w:rsidRPr="00903F99" w14:paraId="2BB49784" w14:textId="77777777" w:rsidTr="004E3199">
        <w:trPr>
          <w:trHeight w:val="374"/>
          <w:tblHeader/>
          <w:jc w:val="center"/>
        </w:trPr>
        <w:tc>
          <w:tcPr>
            <w:tcW w:w="14011" w:type="dxa"/>
            <w:gridSpan w:val="4"/>
            <w:shd w:val="clear" w:color="auto" w:fill="00549E"/>
            <w:vAlign w:val="center"/>
            <w:hideMark/>
          </w:tcPr>
          <w:p w14:paraId="316285D2" w14:textId="4A04D9A0" w:rsidR="0065503C" w:rsidRPr="00903F99" w:rsidRDefault="00985584" w:rsidP="004E3199">
            <w:pPr>
              <w:pStyle w:val="HSAGTableHeading"/>
              <w:spacing w:before="0" w:after="0"/>
              <w:contextualSpacing/>
            </w:pPr>
            <w:r w:rsidRPr="001408D5">
              <w:t>Standard II—Emergency and Poststabilization Services</w:t>
            </w:r>
          </w:p>
        </w:tc>
      </w:tr>
      <w:tr w:rsidR="0065503C" w:rsidRPr="0026679F" w14:paraId="05AD5D73" w14:textId="77777777" w:rsidTr="004E3199">
        <w:trPr>
          <w:trHeight w:val="374"/>
          <w:tblHeader/>
          <w:jc w:val="center"/>
        </w:trPr>
        <w:tc>
          <w:tcPr>
            <w:tcW w:w="6475" w:type="dxa"/>
            <w:shd w:val="clear" w:color="auto" w:fill="DFECF7"/>
            <w:vAlign w:val="center"/>
            <w:hideMark/>
          </w:tcPr>
          <w:p w14:paraId="4A256EB5" w14:textId="77777777" w:rsidR="0065503C" w:rsidRPr="0026679F" w:rsidRDefault="0065503C" w:rsidP="004E3199">
            <w:pPr>
              <w:pStyle w:val="HSAGTableHeading"/>
              <w:rPr>
                <w:color w:val="auto"/>
              </w:rPr>
            </w:pPr>
            <w:r w:rsidRPr="0026679F">
              <w:rPr>
                <w:color w:val="auto"/>
              </w:rPr>
              <w:t>Requirement</w:t>
            </w:r>
          </w:p>
        </w:tc>
        <w:tc>
          <w:tcPr>
            <w:tcW w:w="6120" w:type="dxa"/>
            <w:gridSpan w:val="2"/>
            <w:shd w:val="clear" w:color="auto" w:fill="DFECF7"/>
            <w:vAlign w:val="center"/>
            <w:hideMark/>
          </w:tcPr>
          <w:p w14:paraId="1914E1BC" w14:textId="77777777" w:rsidR="0065503C" w:rsidRPr="0026679F" w:rsidRDefault="0065503C" w:rsidP="004E3199">
            <w:pPr>
              <w:pStyle w:val="HSAGTableHeading"/>
              <w:rPr>
                <w:color w:val="auto"/>
              </w:rPr>
            </w:pPr>
            <w:r w:rsidRPr="0026679F">
              <w:rPr>
                <w:color w:val="auto"/>
              </w:rPr>
              <w:t>Supporting Documentation</w:t>
            </w:r>
          </w:p>
        </w:tc>
        <w:tc>
          <w:tcPr>
            <w:tcW w:w="1416" w:type="dxa"/>
            <w:shd w:val="clear" w:color="auto" w:fill="DFECF7"/>
            <w:vAlign w:val="center"/>
            <w:hideMark/>
          </w:tcPr>
          <w:p w14:paraId="5124A3D1" w14:textId="77777777" w:rsidR="0065503C" w:rsidRPr="0026679F" w:rsidRDefault="0065503C" w:rsidP="004E3199">
            <w:pPr>
              <w:pStyle w:val="HSAGTableHeading"/>
              <w:rPr>
                <w:color w:val="auto"/>
              </w:rPr>
            </w:pPr>
            <w:r w:rsidRPr="0026679F">
              <w:rPr>
                <w:color w:val="auto"/>
              </w:rPr>
              <w:t>Score</w:t>
            </w:r>
          </w:p>
        </w:tc>
      </w:tr>
      <w:tr w:rsidR="00985584" w:rsidRPr="00903F99" w14:paraId="57D124AF" w14:textId="77777777" w:rsidTr="004E3199">
        <w:trPr>
          <w:trHeight w:val="374"/>
          <w:jc w:val="center"/>
        </w:trPr>
        <w:tc>
          <w:tcPr>
            <w:tcW w:w="6475" w:type="dxa"/>
            <w:vMerge w:val="restart"/>
          </w:tcPr>
          <w:p w14:paraId="0F4F2907" w14:textId="77777777" w:rsidR="00985584" w:rsidRPr="001408D5" w:rsidRDefault="00985584" w:rsidP="00985584">
            <w:pPr>
              <w:pStyle w:val="ListNoNum"/>
              <w:rPr>
                <w:iCs/>
                <w:sz w:val="18"/>
                <w:szCs w:val="18"/>
              </w:rPr>
            </w:pPr>
            <w:r w:rsidRPr="001408D5">
              <w:rPr>
                <w:spacing w:val="-4"/>
              </w:rPr>
              <w:t>13.</w:t>
            </w:r>
            <w:r w:rsidRPr="001408D5">
              <w:rPr>
                <w:spacing w:val="-4"/>
              </w:rPr>
              <w:tab/>
            </w:r>
            <w:r w:rsidRPr="001408D5">
              <w:rPr>
                <w:iCs/>
              </w:rPr>
              <w:t xml:space="preserve">The PIHP’s financial responsibility for </w:t>
            </w:r>
            <w:proofErr w:type="spellStart"/>
            <w:proofErr w:type="gramStart"/>
            <w:r w:rsidRPr="001408D5">
              <w:rPr>
                <w:iCs/>
              </w:rPr>
              <w:t>poststabilization</w:t>
            </w:r>
            <w:proofErr w:type="spellEnd"/>
            <w:proofErr w:type="gramEnd"/>
            <w:r w:rsidRPr="001408D5">
              <w:rPr>
                <w:iCs/>
              </w:rPr>
              <w:t xml:space="preserve"> care </w:t>
            </w:r>
            <w:proofErr w:type="gramStart"/>
            <w:r w:rsidRPr="001408D5">
              <w:rPr>
                <w:iCs/>
              </w:rPr>
              <w:t>services it</w:t>
            </w:r>
            <w:proofErr w:type="gramEnd"/>
            <w:r w:rsidRPr="001408D5">
              <w:rPr>
                <w:iCs/>
              </w:rPr>
              <w:t xml:space="preserve"> has not pre-approved ends when:</w:t>
            </w:r>
          </w:p>
          <w:p w14:paraId="6AE5B833" w14:textId="77777777" w:rsidR="00985584" w:rsidRPr="001408D5" w:rsidRDefault="00985584" w:rsidP="00985584">
            <w:pPr>
              <w:pStyle w:val="ListNoNum2"/>
              <w:rPr>
                <w:iCs/>
                <w:sz w:val="18"/>
                <w:szCs w:val="18"/>
              </w:rPr>
            </w:pPr>
            <w:r w:rsidRPr="001408D5">
              <w:t>a</w:t>
            </w:r>
            <w:proofErr w:type="gramStart"/>
            <w:r w:rsidRPr="001408D5">
              <w:t xml:space="preserve">. </w:t>
            </w:r>
            <w:r w:rsidRPr="001408D5">
              <w:tab/>
            </w:r>
            <w:r w:rsidRPr="001408D5">
              <w:rPr>
                <w:iCs/>
              </w:rPr>
              <w:t>A</w:t>
            </w:r>
            <w:proofErr w:type="gramEnd"/>
            <w:r w:rsidRPr="001408D5">
              <w:rPr>
                <w:iCs/>
              </w:rPr>
              <w:t xml:space="preserve"> plan physician with privileges at the treating hospital assumes responsibility for the member’s care.</w:t>
            </w:r>
          </w:p>
          <w:p w14:paraId="09D86162" w14:textId="77777777" w:rsidR="00985584" w:rsidRPr="001408D5" w:rsidRDefault="00985584" w:rsidP="00985584">
            <w:pPr>
              <w:pStyle w:val="ListNoNum2"/>
              <w:rPr>
                <w:iCs/>
                <w:sz w:val="18"/>
                <w:szCs w:val="18"/>
              </w:rPr>
            </w:pPr>
            <w:r w:rsidRPr="001408D5">
              <w:t>b</w:t>
            </w:r>
            <w:proofErr w:type="gramStart"/>
            <w:r w:rsidRPr="001408D5">
              <w:t xml:space="preserve">. </w:t>
            </w:r>
            <w:r w:rsidRPr="001408D5">
              <w:tab/>
            </w:r>
            <w:r w:rsidRPr="001408D5">
              <w:rPr>
                <w:iCs/>
              </w:rPr>
              <w:t>A</w:t>
            </w:r>
            <w:proofErr w:type="gramEnd"/>
            <w:r w:rsidRPr="001408D5">
              <w:rPr>
                <w:iCs/>
              </w:rPr>
              <w:t xml:space="preserve"> plan physician assumes responsibility for the member’s care through transfer.</w:t>
            </w:r>
          </w:p>
          <w:p w14:paraId="4D1CB2F5" w14:textId="77777777" w:rsidR="00985584" w:rsidRPr="001408D5" w:rsidRDefault="00985584" w:rsidP="00985584">
            <w:pPr>
              <w:pStyle w:val="ListNoNum2"/>
              <w:rPr>
                <w:iCs/>
                <w:sz w:val="18"/>
                <w:szCs w:val="18"/>
              </w:rPr>
            </w:pPr>
            <w:r w:rsidRPr="001408D5">
              <w:t xml:space="preserve">c. </w:t>
            </w:r>
            <w:r w:rsidRPr="001408D5">
              <w:tab/>
            </w:r>
            <w:r w:rsidRPr="001408D5">
              <w:rPr>
                <w:iCs/>
              </w:rPr>
              <w:t>An PIHP representative and the treating physician reach an agreement concerning the member’s care.</w:t>
            </w:r>
          </w:p>
          <w:p w14:paraId="610A5058" w14:textId="77777777" w:rsidR="00985584" w:rsidRPr="001408D5" w:rsidRDefault="00985584" w:rsidP="00985584">
            <w:pPr>
              <w:pStyle w:val="ListNoNum2"/>
              <w:rPr>
                <w:iCs/>
                <w:sz w:val="18"/>
                <w:szCs w:val="18"/>
              </w:rPr>
            </w:pPr>
            <w:r w:rsidRPr="001408D5">
              <w:t>d</w:t>
            </w:r>
            <w:proofErr w:type="gramStart"/>
            <w:r w:rsidRPr="001408D5">
              <w:t xml:space="preserve">. </w:t>
            </w:r>
            <w:r w:rsidRPr="001408D5">
              <w:tab/>
            </w:r>
            <w:r w:rsidRPr="001408D5">
              <w:rPr>
                <w:iCs/>
              </w:rPr>
              <w:t>The</w:t>
            </w:r>
            <w:proofErr w:type="gramEnd"/>
            <w:r w:rsidRPr="001408D5">
              <w:rPr>
                <w:iCs/>
              </w:rPr>
              <w:t xml:space="preserve"> member is discharged.</w:t>
            </w:r>
          </w:p>
          <w:p w14:paraId="63B93D06" w14:textId="77777777" w:rsidR="00985584" w:rsidRPr="001408D5" w:rsidRDefault="00985584" w:rsidP="00985584">
            <w:pPr>
              <w:pStyle w:val="HSAGTableContracttext"/>
            </w:pPr>
          </w:p>
          <w:p w14:paraId="5466EF16" w14:textId="77777777" w:rsidR="00985584" w:rsidRPr="001408D5" w:rsidRDefault="00985584" w:rsidP="00985584">
            <w:pPr>
              <w:pStyle w:val="HSAGTableContracttext"/>
              <w:rPr>
                <w:szCs w:val="18"/>
              </w:rPr>
            </w:pPr>
            <w:r w:rsidRPr="001408D5">
              <w:rPr>
                <w:szCs w:val="18"/>
              </w:rPr>
              <w:t>42 CFR §422.113(c)(3)</w:t>
            </w:r>
          </w:p>
          <w:p w14:paraId="0BEF0C04" w14:textId="77777777" w:rsidR="00985584" w:rsidRPr="001408D5" w:rsidRDefault="00985584" w:rsidP="00985584">
            <w:pPr>
              <w:pStyle w:val="HSAGTableContracttext"/>
              <w:rPr>
                <w:szCs w:val="18"/>
              </w:rPr>
            </w:pPr>
            <w:r w:rsidRPr="001408D5">
              <w:rPr>
                <w:szCs w:val="18"/>
              </w:rPr>
              <w:t>42 CFR §438.114(e)</w:t>
            </w:r>
          </w:p>
          <w:p w14:paraId="1BCB861F" w14:textId="6CACB3F1" w:rsidR="00985584" w:rsidRPr="00903F99" w:rsidRDefault="00985584" w:rsidP="00985584">
            <w:pPr>
              <w:pStyle w:val="HSAGTableContracttext"/>
              <w:keepNext/>
              <w:spacing w:before="0" w:after="0"/>
              <w:ind w:left="1440"/>
              <w:contextualSpacing/>
              <w:rPr>
                <w:i/>
                <w:szCs w:val="18"/>
              </w:rPr>
            </w:pPr>
            <w:r w:rsidRPr="001408D5">
              <w:rPr>
                <w:szCs w:val="18"/>
              </w:rPr>
              <w:t>42 CFR §457.1228</w:t>
            </w:r>
          </w:p>
        </w:tc>
        <w:tc>
          <w:tcPr>
            <w:tcW w:w="6120" w:type="dxa"/>
            <w:gridSpan w:val="2"/>
            <w:shd w:val="clear" w:color="auto" w:fill="FFFFFF" w:themeFill="background1"/>
          </w:tcPr>
          <w:p w14:paraId="3880111F" w14:textId="77777777" w:rsidR="00985584" w:rsidRPr="001408D5" w:rsidRDefault="00985584" w:rsidP="00985584">
            <w:pPr>
              <w:pStyle w:val="HSAGTableText"/>
              <w:contextualSpacing/>
              <w:rPr>
                <w:b/>
                <w:bCs/>
              </w:rPr>
            </w:pPr>
            <w:r w:rsidRPr="001408D5">
              <w:rPr>
                <w:b/>
                <w:bCs/>
              </w:rPr>
              <w:t>HSAG Required Evidence:</w:t>
            </w:r>
          </w:p>
          <w:p w14:paraId="68AF55CF" w14:textId="77777777" w:rsidR="007401D6" w:rsidRDefault="00985584" w:rsidP="00595A8D">
            <w:pPr>
              <w:pStyle w:val="HSAGTableText"/>
              <w:numPr>
                <w:ilvl w:val="0"/>
                <w:numId w:val="19"/>
              </w:numPr>
              <w:contextualSpacing/>
            </w:pPr>
            <w:r w:rsidRPr="001408D5">
              <w:t>Policies and procedures</w:t>
            </w:r>
          </w:p>
          <w:p w14:paraId="5FD3685B" w14:textId="73A3A9A0" w:rsidR="00985584" w:rsidRPr="00903F99" w:rsidRDefault="00985584" w:rsidP="00595A8D">
            <w:pPr>
              <w:pStyle w:val="HSAGTableText"/>
              <w:numPr>
                <w:ilvl w:val="0"/>
                <w:numId w:val="19"/>
              </w:numPr>
              <w:contextualSpacing/>
            </w:pPr>
            <w:r w:rsidRPr="001408D5">
              <w:t>Provider materials, such as the provider manual</w:t>
            </w:r>
          </w:p>
        </w:tc>
        <w:tc>
          <w:tcPr>
            <w:tcW w:w="1416" w:type="dxa"/>
            <w:vMerge w:val="restart"/>
            <w:shd w:val="clear" w:color="auto" w:fill="FFFFFF" w:themeFill="background1"/>
          </w:tcPr>
          <w:p w14:paraId="72A41022" w14:textId="77777777" w:rsidR="00985584" w:rsidRPr="001408D5" w:rsidRDefault="00000000" w:rsidP="00985584">
            <w:pPr>
              <w:spacing w:before="60" w:after="0"/>
              <w:contextualSpacing/>
              <w:rPr>
                <w:sz w:val="22"/>
              </w:rPr>
            </w:pPr>
            <w:sdt>
              <w:sdtPr>
                <w:rPr>
                  <w:sz w:val="22"/>
                </w:rPr>
                <w:id w:val="-883401680"/>
                <w14:checkbox>
                  <w14:checked w14:val="0"/>
                  <w14:checkedState w14:val="2612" w14:font="MS Gothic"/>
                  <w14:uncheckedState w14:val="2610" w14:font="MS Gothic"/>
                </w14:checkbox>
              </w:sdtPr>
              <w:sdtContent>
                <w:r w:rsidR="00985584" w:rsidRPr="001408D5">
                  <w:rPr>
                    <w:rFonts w:ascii="MS Gothic" w:eastAsia="MS Gothic" w:hAnsi="MS Gothic" w:hint="eastAsia"/>
                    <w:sz w:val="22"/>
                  </w:rPr>
                  <w:t>☐</w:t>
                </w:r>
              </w:sdtContent>
            </w:sdt>
            <w:r w:rsidR="00985584" w:rsidRPr="001408D5">
              <w:rPr>
                <w:sz w:val="22"/>
              </w:rPr>
              <w:t xml:space="preserve"> Met</w:t>
            </w:r>
          </w:p>
          <w:p w14:paraId="1B0BDCCB" w14:textId="77777777" w:rsidR="00985584" w:rsidRPr="001408D5" w:rsidRDefault="00000000" w:rsidP="00985584">
            <w:pPr>
              <w:spacing w:before="60" w:after="0"/>
              <w:contextualSpacing/>
              <w:rPr>
                <w:sz w:val="22"/>
              </w:rPr>
            </w:pPr>
            <w:sdt>
              <w:sdtPr>
                <w:rPr>
                  <w:sz w:val="22"/>
                </w:rPr>
                <w:id w:val="-470834652"/>
                <w14:checkbox>
                  <w14:checked w14:val="1"/>
                  <w14:checkedState w14:val="2612" w14:font="MS Gothic"/>
                  <w14:uncheckedState w14:val="2610" w14:font="MS Gothic"/>
                </w14:checkbox>
              </w:sdtPr>
              <w:sdtContent>
                <w:r w:rsidR="00985584" w:rsidRPr="001408D5">
                  <w:rPr>
                    <w:rFonts w:ascii="MS Gothic" w:eastAsia="MS Gothic" w:hAnsi="MS Gothic" w:hint="eastAsia"/>
                    <w:sz w:val="22"/>
                  </w:rPr>
                  <w:t>☒</w:t>
                </w:r>
              </w:sdtContent>
            </w:sdt>
            <w:r w:rsidR="00985584" w:rsidRPr="001408D5">
              <w:rPr>
                <w:sz w:val="22"/>
              </w:rPr>
              <w:t xml:space="preserve"> Not Met</w:t>
            </w:r>
          </w:p>
          <w:p w14:paraId="312215B7" w14:textId="77777777" w:rsidR="00985584" w:rsidRPr="001408D5" w:rsidRDefault="00000000" w:rsidP="00985584">
            <w:pPr>
              <w:spacing w:before="60" w:after="0"/>
              <w:contextualSpacing/>
              <w:rPr>
                <w:sz w:val="22"/>
              </w:rPr>
            </w:pPr>
            <w:sdt>
              <w:sdtPr>
                <w:rPr>
                  <w:sz w:val="22"/>
                </w:rPr>
                <w:id w:val="-1624992944"/>
                <w14:checkbox>
                  <w14:checked w14:val="0"/>
                  <w14:checkedState w14:val="2612" w14:font="MS Gothic"/>
                  <w14:uncheckedState w14:val="2610" w14:font="MS Gothic"/>
                </w14:checkbox>
              </w:sdtPr>
              <w:sdtContent>
                <w:r w:rsidR="00985584" w:rsidRPr="001408D5">
                  <w:rPr>
                    <w:rFonts w:ascii="MS Gothic" w:eastAsia="MS Gothic" w:hAnsi="MS Gothic" w:hint="eastAsia"/>
                    <w:sz w:val="22"/>
                  </w:rPr>
                  <w:t>☐</w:t>
                </w:r>
              </w:sdtContent>
            </w:sdt>
            <w:r w:rsidR="00985584" w:rsidRPr="001408D5">
              <w:rPr>
                <w:sz w:val="22"/>
              </w:rPr>
              <w:t xml:space="preserve"> NA</w:t>
            </w:r>
          </w:p>
          <w:p w14:paraId="27112550" w14:textId="77777777" w:rsidR="00985584" w:rsidRPr="00903F99" w:rsidRDefault="00985584" w:rsidP="00985584">
            <w:pPr>
              <w:spacing w:before="0" w:after="0"/>
              <w:contextualSpacing/>
              <w:rPr>
                <w:sz w:val="22"/>
              </w:rPr>
            </w:pPr>
          </w:p>
        </w:tc>
      </w:tr>
      <w:tr w:rsidR="00985584" w:rsidRPr="00903F99" w14:paraId="75321392" w14:textId="77777777" w:rsidTr="004E3199">
        <w:trPr>
          <w:trHeight w:val="374"/>
          <w:jc w:val="center"/>
        </w:trPr>
        <w:tc>
          <w:tcPr>
            <w:tcW w:w="6475" w:type="dxa"/>
            <w:vMerge/>
          </w:tcPr>
          <w:p w14:paraId="0D793760" w14:textId="77777777" w:rsidR="00985584" w:rsidRPr="00903F99" w:rsidRDefault="00985584" w:rsidP="00595A8D">
            <w:pPr>
              <w:pStyle w:val="HSAGNumbers"/>
              <w:numPr>
                <w:ilvl w:val="0"/>
                <w:numId w:val="16"/>
              </w:numPr>
              <w:spacing w:before="0" w:after="0"/>
              <w:contextualSpacing/>
            </w:pPr>
          </w:p>
        </w:tc>
        <w:tc>
          <w:tcPr>
            <w:tcW w:w="6120" w:type="dxa"/>
            <w:gridSpan w:val="2"/>
            <w:shd w:val="clear" w:color="auto" w:fill="FFFFFF" w:themeFill="background1"/>
          </w:tcPr>
          <w:p w14:paraId="03A7C947" w14:textId="77777777" w:rsidR="00985584" w:rsidRPr="001408D5" w:rsidRDefault="00985584" w:rsidP="00985584">
            <w:pPr>
              <w:pStyle w:val="HSAGTableText"/>
              <w:contextualSpacing/>
              <w:rPr>
                <w:b/>
                <w:bCs/>
              </w:rPr>
            </w:pPr>
            <w:r w:rsidRPr="001408D5">
              <w:rPr>
                <w:b/>
                <w:bCs/>
              </w:rPr>
              <w:t>Evidence as Submitted by the PIHP:</w:t>
            </w:r>
          </w:p>
          <w:p w14:paraId="56E15A52" w14:textId="77777777" w:rsidR="00985584" w:rsidRPr="001408D5" w:rsidRDefault="00985584" w:rsidP="00595A8D">
            <w:pPr>
              <w:pStyle w:val="HSAGTableText"/>
              <w:numPr>
                <w:ilvl w:val="0"/>
                <w:numId w:val="20"/>
              </w:numPr>
              <w:contextualSpacing/>
            </w:pPr>
            <w:r w:rsidRPr="001408D5">
              <w:t>SII_E11-E12-E13_P.P. NLCMHA UM Plan</w:t>
            </w:r>
          </w:p>
          <w:p w14:paraId="1E52D81A" w14:textId="77777777" w:rsidR="00985584" w:rsidRPr="001408D5" w:rsidRDefault="00985584" w:rsidP="00595A8D">
            <w:pPr>
              <w:pStyle w:val="HSAGTableText"/>
              <w:numPr>
                <w:ilvl w:val="0"/>
                <w:numId w:val="20"/>
              </w:numPr>
              <w:contextualSpacing/>
            </w:pPr>
            <w:r w:rsidRPr="001408D5">
              <w:t>SII_E11-E13_Case example- CSR 2024_example 1</w:t>
            </w:r>
          </w:p>
          <w:p w14:paraId="6B392EE4" w14:textId="77777777" w:rsidR="00985584" w:rsidRPr="001408D5" w:rsidRDefault="00985584" w:rsidP="00595A8D">
            <w:pPr>
              <w:pStyle w:val="HSAGTableText"/>
              <w:numPr>
                <w:ilvl w:val="0"/>
                <w:numId w:val="20"/>
              </w:numPr>
              <w:contextualSpacing/>
            </w:pPr>
            <w:r w:rsidRPr="001408D5">
              <w:t>SII_E11-E13_Case example- CSR 2024_example 2</w:t>
            </w:r>
          </w:p>
          <w:p w14:paraId="0BC8CBAE" w14:textId="77777777" w:rsidR="00985584" w:rsidRPr="001408D5" w:rsidRDefault="00985584" w:rsidP="00595A8D">
            <w:pPr>
              <w:pStyle w:val="HSAGTableText"/>
              <w:numPr>
                <w:ilvl w:val="0"/>
                <w:numId w:val="20"/>
              </w:numPr>
              <w:contextualSpacing/>
            </w:pPr>
            <w:r w:rsidRPr="001408D5">
              <w:t>SII_E11-E13_Case example- CSR 2024_example 3</w:t>
            </w:r>
          </w:p>
          <w:p w14:paraId="313A8696" w14:textId="77777777" w:rsidR="00985584" w:rsidRPr="001408D5" w:rsidRDefault="00985584" w:rsidP="00595A8D">
            <w:pPr>
              <w:pStyle w:val="HSAGTableText"/>
              <w:numPr>
                <w:ilvl w:val="0"/>
                <w:numId w:val="20"/>
              </w:numPr>
              <w:contextualSpacing/>
            </w:pPr>
            <w:r w:rsidRPr="001408D5">
              <w:t xml:space="preserve">SII_E11-E13_Case </w:t>
            </w:r>
            <w:proofErr w:type="gramStart"/>
            <w:r w:rsidRPr="001408D5">
              <w:t>example</w:t>
            </w:r>
            <w:proofErr w:type="gramEnd"/>
            <w:r w:rsidRPr="001408D5">
              <w:t>-Example 4</w:t>
            </w:r>
          </w:p>
          <w:p w14:paraId="2D4A010F" w14:textId="77777777" w:rsidR="00985584" w:rsidRPr="001408D5" w:rsidRDefault="00985584" w:rsidP="00595A8D">
            <w:pPr>
              <w:pStyle w:val="HSAGTableText"/>
              <w:numPr>
                <w:ilvl w:val="0"/>
                <w:numId w:val="20"/>
              </w:numPr>
              <w:contextualSpacing/>
            </w:pPr>
            <w:r w:rsidRPr="001408D5">
              <w:t>SII_E13_ Hospital Liaison Procedure</w:t>
            </w:r>
          </w:p>
          <w:p w14:paraId="0B176AC1" w14:textId="77777777" w:rsidR="00985584" w:rsidRPr="001408D5" w:rsidRDefault="00985584" w:rsidP="00595A8D">
            <w:pPr>
              <w:pStyle w:val="HSAGTableText"/>
              <w:numPr>
                <w:ilvl w:val="0"/>
                <w:numId w:val="20"/>
              </w:numPr>
              <w:contextualSpacing/>
            </w:pPr>
            <w:r w:rsidRPr="001408D5">
              <w:t>SII_E13_Case example-</w:t>
            </w:r>
            <w:proofErr w:type="gramStart"/>
            <w:r w:rsidRPr="001408D5">
              <w:t>UM.Communication</w:t>
            </w:r>
            <w:proofErr w:type="gramEnd"/>
            <w:r w:rsidRPr="001408D5">
              <w:t>.1</w:t>
            </w:r>
          </w:p>
          <w:p w14:paraId="1C671A79" w14:textId="77777777" w:rsidR="00985584" w:rsidRPr="001408D5" w:rsidRDefault="00985584" w:rsidP="00595A8D">
            <w:pPr>
              <w:pStyle w:val="HSAGTableText"/>
              <w:numPr>
                <w:ilvl w:val="0"/>
                <w:numId w:val="20"/>
              </w:numPr>
              <w:contextualSpacing/>
            </w:pPr>
            <w:r w:rsidRPr="001408D5">
              <w:t>SII_E13_Continued stay denial</w:t>
            </w:r>
          </w:p>
          <w:p w14:paraId="0E9BC31F" w14:textId="77777777" w:rsidR="00985584" w:rsidRDefault="00985584" w:rsidP="00595A8D">
            <w:pPr>
              <w:pStyle w:val="HSAGTableText"/>
              <w:numPr>
                <w:ilvl w:val="0"/>
                <w:numId w:val="20"/>
              </w:numPr>
              <w:contextualSpacing/>
            </w:pPr>
            <w:r w:rsidRPr="001408D5">
              <w:t xml:space="preserve">SII_E13_End of </w:t>
            </w:r>
            <w:proofErr w:type="spellStart"/>
            <w:proofErr w:type="gramStart"/>
            <w:r w:rsidRPr="001408D5">
              <w:t>episode.discharge</w:t>
            </w:r>
            <w:proofErr w:type="spellEnd"/>
            <w:proofErr w:type="gramEnd"/>
          </w:p>
          <w:p w14:paraId="16B9DBD1" w14:textId="0204D63E" w:rsidR="00985584" w:rsidRPr="00903F99" w:rsidRDefault="00985584" w:rsidP="00595A8D">
            <w:pPr>
              <w:pStyle w:val="HSAGTableText"/>
              <w:numPr>
                <w:ilvl w:val="0"/>
                <w:numId w:val="20"/>
              </w:numPr>
              <w:contextualSpacing/>
            </w:pPr>
            <w:r w:rsidRPr="001408D5">
              <w:t>SII_E5 through E13_CWN_page6,19,20</w:t>
            </w:r>
          </w:p>
        </w:tc>
        <w:tc>
          <w:tcPr>
            <w:tcW w:w="1416" w:type="dxa"/>
            <w:vMerge/>
            <w:shd w:val="clear" w:color="auto" w:fill="FFFFFF" w:themeFill="background1"/>
          </w:tcPr>
          <w:p w14:paraId="73328C02" w14:textId="77777777" w:rsidR="00985584" w:rsidRPr="00903F99" w:rsidRDefault="00985584" w:rsidP="00985584">
            <w:pPr>
              <w:spacing w:before="0" w:after="0"/>
              <w:contextualSpacing/>
              <w:rPr>
                <w:sz w:val="22"/>
              </w:rPr>
            </w:pPr>
          </w:p>
        </w:tc>
      </w:tr>
      <w:tr w:rsidR="00985584" w:rsidRPr="00903F99" w14:paraId="4DA242B8" w14:textId="77777777" w:rsidTr="0065503C">
        <w:trPr>
          <w:trHeight w:val="374"/>
          <w:jc w:val="center"/>
        </w:trPr>
        <w:tc>
          <w:tcPr>
            <w:tcW w:w="14011" w:type="dxa"/>
            <w:gridSpan w:val="4"/>
            <w:vAlign w:val="center"/>
          </w:tcPr>
          <w:p w14:paraId="1D25C925" w14:textId="0092184A" w:rsidR="00985584" w:rsidRPr="00903F99" w:rsidRDefault="00985584" w:rsidP="00985584">
            <w:pPr>
              <w:pStyle w:val="HSAGTableText"/>
              <w:spacing w:before="0" w:after="0"/>
            </w:pPr>
            <w:r w:rsidRPr="001408D5">
              <w:rPr>
                <w:b/>
              </w:rPr>
              <w:t>PIHP Description of Process:</w:t>
            </w:r>
            <w:r w:rsidRPr="001408D5">
              <w:t xml:space="preserve"> PIHP and its 5 CMHSPs define </w:t>
            </w:r>
            <w:proofErr w:type="gramStart"/>
            <w:r w:rsidRPr="001408D5">
              <w:t>Post-stabilization</w:t>
            </w:r>
            <w:proofErr w:type="gramEnd"/>
            <w:r w:rsidRPr="001408D5">
              <w:t xml:space="preserve"> services as covered specialty services, related to an emergency medical condition and that are provided after a beneficiary is stabilized </w:t>
            </w:r>
            <w:proofErr w:type="gramStart"/>
            <w:r w:rsidRPr="001408D5">
              <w:t>in order to</w:t>
            </w:r>
            <w:proofErr w:type="gramEnd"/>
            <w:r w:rsidRPr="001408D5">
              <w:t xml:space="preserve"> maintain the stabilized condition, or to improve or resolve the beneficiary’s condition. PIHP/CMHSPs are responsible for payment for services they authorize. Services cannot be delayed or denied </w:t>
            </w:r>
            <w:proofErr w:type="gramStart"/>
            <w:r w:rsidRPr="001408D5">
              <w:t>as a result of</w:t>
            </w:r>
            <w:proofErr w:type="gramEnd"/>
            <w:r w:rsidRPr="001408D5">
              <w:t xml:space="preserve"> a dispute of payment responsibility between two or more CMHSPs. In the event of an unresolved dispute between CMHSPs, either one may request the PIHPs involvement to resolve the dispute and </w:t>
            </w:r>
            <w:proofErr w:type="gramStart"/>
            <w:r w:rsidRPr="001408D5">
              <w:t>make a determination</w:t>
            </w:r>
            <w:proofErr w:type="gramEnd"/>
            <w:r w:rsidRPr="001408D5">
              <w:t xml:space="preserve">. Likewise, services are not to be delayed or denied </w:t>
            </w:r>
            <w:proofErr w:type="gramStart"/>
            <w:r w:rsidRPr="001408D5">
              <w:t>as a result of</w:t>
            </w:r>
            <w:proofErr w:type="gramEnd"/>
            <w:r w:rsidRPr="001408D5">
              <w:t xml:space="preserve"> a dispute of payment responsibility between the CMHSP and another agency. CMHSPs are financially responsible for post-stabilization specialty care services obtained within or outside the network that are preapproved by the CMHSP.</w:t>
            </w:r>
          </w:p>
        </w:tc>
      </w:tr>
      <w:tr w:rsidR="00985584" w:rsidRPr="0026679F" w14:paraId="73A597B8" w14:textId="77777777" w:rsidTr="0065503C">
        <w:trPr>
          <w:trHeight w:val="374"/>
          <w:jc w:val="center"/>
        </w:trPr>
        <w:tc>
          <w:tcPr>
            <w:tcW w:w="14011" w:type="dxa"/>
            <w:gridSpan w:val="4"/>
            <w:tcBorders>
              <w:bottom w:val="single" w:sz="4" w:space="0" w:color="000000"/>
            </w:tcBorders>
            <w:vAlign w:val="center"/>
          </w:tcPr>
          <w:p w14:paraId="7FBA8FEB" w14:textId="77777777" w:rsidR="00985584" w:rsidRPr="001408D5" w:rsidRDefault="00985584" w:rsidP="00985584">
            <w:pPr>
              <w:pStyle w:val="HSAGTableText"/>
            </w:pPr>
            <w:r w:rsidRPr="001408D5">
              <w:rPr>
                <w:b/>
              </w:rPr>
              <w:t>HSAG Findings:</w:t>
            </w:r>
            <w:r w:rsidRPr="001408D5">
              <w:t xml:space="preserve"> While not specific to this element but to the entire standard in general, the PIHP did not adequately address HSAG’s recommendations made during the SFY 2021 compliance review. While the PIHP could speak to its processes for implementation when prompted by questions from HSAG (which resulted in a </w:t>
            </w:r>
            <w:r w:rsidRPr="001408D5">
              <w:rPr>
                <w:i/>
                <w:iCs/>
              </w:rPr>
              <w:t>Met</w:t>
            </w:r>
            <w:r w:rsidRPr="001408D5">
              <w:t xml:space="preserve"> score for Elements 1–12), the PIHP did not develop an emergency and </w:t>
            </w:r>
            <w:proofErr w:type="spellStart"/>
            <w:r w:rsidRPr="001408D5">
              <w:t>poststabilization</w:t>
            </w:r>
            <w:proofErr w:type="spellEnd"/>
            <w:r w:rsidRPr="001408D5">
              <w:t xml:space="preserve"> services policy or incorporate the federal provisions into existing policies as most of the federal provisions were missing from policies submitted by the PIHP for this standard, resulting in a </w:t>
            </w:r>
            <w:r w:rsidRPr="001408D5">
              <w:rPr>
                <w:i/>
                <w:iCs/>
              </w:rPr>
              <w:t>Not Met</w:t>
            </w:r>
            <w:r w:rsidRPr="001408D5">
              <w:t xml:space="preserve"> score for this element.</w:t>
            </w:r>
          </w:p>
          <w:p w14:paraId="33301DB0" w14:textId="77777777" w:rsidR="00985584" w:rsidRPr="001408D5" w:rsidRDefault="00985584" w:rsidP="00985584">
            <w:pPr>
              <w:pStyle w:val="HSAGTableText"/>
              <w:rPr>
                <w:color w:val="auto"/>
              </w:rPr>
            </w:pPr>
            <w:r w:rsidRPr="001408D5">
              <w:rPr>
                <w:b/>
                <w:bCs/>
              </w:rPr>
              <w:lastRenderedPageBreak/>
              <w:t>Recommendations:</w:t>
            </w:r>
            <w:r w:rsidRPr="001408D5">
              <w:t xml:space="preserve"> </w:t>
            </w:r>
            <w:r w:rsidRPr="001408D5">
              <w:rPr>
                <w:color w:val="auto"/>
              </w:rPr>
              <w:t xml:space="preserve">While not specific to this element but to the entire standard in general, HSAG recommends that the PIHP specifically </w:t>
            </w:r>
            <w:proofErr w:type="gramStart"/>
            <w:r w:rsidRPr="001408D5">
              <w:rPr>
                <w:color w:val="auto"/>
              </w:rPr>
              <w:t>include</w:t>
            </w:r>
            <w:proofErr w:type="gramEnd"/>
            <w:r w:rsidRPr="001408D5">
              <w:rPr>
                <w:color w:val="auto"/>
              </w:rPr>
              <w:t xml:space="preserve"> the requirements of each element in a standalone emergency and </w:t>
            </w:r>
            <w:proofErr w:type="spellStart"/>
            <w:r w:rsidRPr="001408D5">
              <w:rPr>
                <w:color w:val="auto"/>
              </w:rPr>
              <w:t>poststabilization</w:t>
            </w:r>
            <w:proofErr w:type="spellEnd"/>
            <w:r w:rsidRPr="001408D5">
              <w:rPr>
                <w:color w:val="auto"/>
              </w:rPr>
              <w:t xml:space="preserve"> services policy and </w:t>
            </w:r>
            <w:proofErr w:type="gramStart"/>
            <w:r w:rsidRPr="001408D5">
              <w:rPr>
                <w:color w:val="auto"/>
              </w:rPr>
              <w:t>expand</w:t>
            </w:r>
            <w:proofErr w:type="gramEnd"/>
            <w:r w:rsidRPr="001408D5">
              <w:rPr>
                <w:color w:val="auto"/>
              </w:rPr>
              <w:t xml:space="preserve"> on the applicability of the requirements as they relate to the PIHP and the Medicaid Behavioral Health Managed Care Program and how the PIHP meets the intent of the requirements. Within the policy, the PIHP must include:</w:t>
            </w:r>
          </w:p>
          <w:p w14:paraId="57EFBCEE" w14:textId="77777777" w:rsidR="00985584" w:rsidRPr="001408D5" w:rsidRDefault="00985584" w:rsidP="00595A8D">
            <w:pPr>
              <w:pStyle w:val="HSAGTableText"/>
              <w:numPr>
                <w:ilvl w:val="0"/>
                <w:numId w:val="21"/>
              </w:numPr>
            </w:pPr>
            <w:r w:rsidRPr="001408D5">
              <w:t xml:space="preserve">The definitions of an emergency medical condition, emergency services, and </w:t>
            </w:r>
            <w:proofErr w:type="spellStart"/>
            <w:r w:rsidRPr="001408D5">
              <w:t>poststabilization</w:t>
            </w:r>
            <w:proofErr w:type="spellEnd"/>
            <w:r w:rsidRPr="001408D5">
              <w:t xml:space="preserve"> services (i.e., including the federal definitions under Elements 1–3 and as defined by MDHHS in the Michigan Medicaid Provider Manual [MMPM]).</w:t>
            </w:r>
          </w:p>
          <w:p w14:paraId="232FE80E" w14:textId="77777777" w:rsidR="00985584" w:rsidRPr="001408D5" w:rsidRDefault="00985584" w:rsidP="00595A8D">
            <w:pPr>
              <w:pStyle w:val="HSAGTableText"/>
              <w:numPr>
                <w:ilvl w:val="0"/>
                <w:numId w:val="21"/>
              </w:numPr>
            </w:pPr>
            <w:r w:rsidRPr="001408D5">
              <w:t xml:space="preserve">A list of services considered to be emergency services covered under the PIHP’s scope of work (e.g., preadmission screening, crisis intervention). Of </w:t>
            </w:r>
            <w:proofErr w:type="gramStart"/>
            <w:r w:rsidRPr="001408D5">
              <w:t>note</w:t>
            </w:r>
            <w:proofErr w:type="gramEnd"/>
            <w:r w:rsidRPr="001408D5">
              <w:t xml:space="preserve">, emergency services do not require prior authorization (PA). </w:t>
            </w:r>
          </w:p>
          <w:p w14:paraId="7FE622A5" w14:textId="77777777" w:rsidR="00985584" w:rsidRPr="001408D5" w:rsidRDefault="00985584" w:rsidP="00595A8D">
            <w:pPr>
              <w:pStyle w:val="HSAGTableText"/>
              <w:numPr>
                <w:ilvl w:val="0"/>
                <w:numId w:val="21"/>
              </w:numPr>
            </w:pPr>
            <w:r w:rsidRPr="001408D5">
              <w:t xml:space="preserve">Examples of services considered to be </w:t>
            </w:r>
            <w:proofErr w:type="spellStart"/>
            <w:r w:rsidRPr="001408D5">
              <w:t>poststabilization</w:t>
            </w:r>
            <w:proofErr w:type="spellEnd"/>
            <w:r w:rsidRPr="001408D5">
              <w:t xml:space="preserve"> in accordance with the MMPM.</w:t>
            </w:r>
          </w:p>
          <w:p w14:paraId="3ACC11AC" w14:textId="77777777" w:rsidR="00985584" w:rsidRPr="001408D5" w:rsidRDefault="00985584" w:rsidP="00595A8D">
            <w:pPr>
              <w:pStyle w:val="HSAGTableText"/>
              <w:numPr>
                <w:ilvl w:val="0"/>
                <w:numId w:val="21"/>
              </w:numPr>
            </w:pPr>
            <w:r w:rsidRPr="001408D5">
              <w:t>All federal provisions under Elements 4–13 (HSAG recommends including verbatim to the federal rule) with an explanation for how the PIHP meets the intent of each requirement.</w:t>
            </w:r>
          </w:p>
          <w:p w14:paraId="41CEC588" w14:textId="77777777" w:rsidR="00985584" w:rsidRPr="001408D5" w:rsidRDefault="00985584" w:rsidP="00595A8D">
            <w:pPr>
              <w:pStyle w:val="HSAGTableText"/>
              <w:numPr>
                <w:ilvl w:val="0"/>
                <w:numId w:val="21"/>
              </w:numPr>
            </w:pPr>
            <w:r w:rsidRPr="001408D5">
              <w:t xml:space="preserve">The guidance issued by MDHHS in the </w:t>
            </w:r>
            <w:r w:rsidRPr="001408D5">
              <w:rPr>
                <w:i/>
                <w:iCs/>
              </w:rPr>
              <w:t xml:space="preserve">Clarification of the Michigan Mission Based Performance Indicator System (MMBPIS) three-hour prescreen decision indicator in relation to one-hour requirement for authorization of </w:t>
            </w:r>
            <w:proofErr w:type="spellStart"/>
            <w:r w:rsidRPr="001408D5">
              <w:rPr>
                <w:i/>
                <w:iCs/>
              </w:rPr>
              <w:t>poststabilization</w:t>
            </w:r>
            <w:proofErr w:type="spellEnd"/>
            <w:r w:rsidRPr="001408D5">
              <w:rPr>
                <w:i/>
                <w:iCs/>
              </w:rPr>
              <w:t xml:space="preserve"> care services (42 CFR 422.113 &amp; 42 CFR 438.114)</w:t>
            </w:r>
            <w:r w:rsidRPr="001408D5">
              <w:t xml:space="preserve"> memorandum dated September 26, 2024. HSAG recommends that the PIHP </w:t>
            </w:r>
            <w:proofErr w:type="gramStart"/>
            <w:r w:rsidRPr="001408D5">
              <w:t>consult with</w:t>
            </w:r>
            <w:proofErr w:type="gramEnd"/>
            <w:r w:rsidRPr="001408D5">
              <w:t xml:space="preserve"> MDHHS for further guidance as needed.</w:t>
            </w:r>
          </w:p>
          <w:p w14:paraId="34CB3B10" w14:textId="347CC846" w:rsidR="00985584" w:rsidRPr="0026679F" w:rsidRDefault="00985584" w:rsidP="00985584">
            <w:pPr>
              <w:pStyle w:val="HSAGTableText"/>
              <w:spacing w:before="0"/>
            </w:pPr>
            <w:r w:rsidRPr="001408D5">
              <w:rPr>
                <w:color w:val="auto"/>
              </w:rPr>
              <w:t xml:space="preserve">If the PIHP does not demonstrate adequate implementation of HSAG’s recommendation during future compliance reviews, the PIHP will automatically receive a </w:t>
            </w:r>
            <w:r w:rsidRPr="001408D5">
              <w:rPr>
                <w:i/>
                <w:iCs/>
                <w:color w:val="auto"/>
              </w:rPr>
              <w:t>Not Met</w:t>
            </w:r>
            <w:r w:rsidRPr="001408D5">
              <w:rPr>
                <w:color w:val="auto"/>
              </w:rPr>
              <w:t xml:space="preserve"> score for each individual element within this standard if not addressed.</w:t>
            </w:r>
          </w:p>
        </w:tc>
      </w:tr>
      <w:tr w:rsidR="00985584" w:rsidRPr="0026679F" w14:paraId="364A6674" w14:textId="77777777" w:rsidTr="004E3199">
        <w:trPr>
          <w:trHeight w:val="374"/>
          <w:jc w:val="center"/>
        </w:trPr>
        <w:tc>
          <w:tcPr>
            <w:tcW w:w="14011" w:type="dxa"/>
            <w:gridSpan w:val="4"/>
            <w:tcBorders>
              <w:top w:val="single" w:sz="4" w:space="0" w:color="000000"/>
              <w:bottom w:val="single" w:sz="4" w:space="0" w:color="auto"/>
            </w:tcBorders>
            <w:vAlign w:val="center"/>
          </w:tcPr>
          <w:p w14:paraId="32BA75EA" w14:textId="321C056A" w:rsidR="00985584" w:rsidRPr="0026679F" w:rsidRDefault="00985584" w:rsidP="00985584">
            <w:pPr>
              <w:pStyle w:val="HSAGTableText"/>
              <w:rPr>
                <w:b/>
              </w:rPr>
            </w:pPr>
            <w:r w:rsidRPr="001408D5">
              <w:rPr>
                <w:b/>
              </w:rPr>
              <w:lastRenderedPageBreak/>
              <w:t>Required Actions:</w:t>
            </w:r>
            <w:r w:rsidRPr="001408D5">
              <w:t xml:space="preserve"> The PIHP must develop a policy that incorporates all coverage and payment rules for emergency and </w:t>
            </w:r>
            <w:proofErr w:type="spellStart"/>
            <w:r w:rsidRPr="001408D5">
              <w:t>poststabilization</w:t>
            </w:r>
            <w:proofErr w:type="spellEnd"/>
            <w:r w:rsidRPr="001408D5">
              <w:t xml:space="preserve"> services.</w:t>
            </w:r>
          </w:p>
        </w:tc>
      </w:tr>
      <w:tr w:rsidR="00985584" w:rsidRPr="00D16F05" w14:paraId="17FBA721" w14:textId="77777777" w:rsidTr="004E3199">
        <w:tblPrEx>
          <w:tblCellMar>
            <w:left w:w="108" w:type="dxa"/>
            <w:right w:w="108" w:type="dxa"/>
          </w:tblCellMar>
        </w:tblPrEx>
        <w:trPr>
          <w:trHeight w:val="374"/>
          <w:jc w:val="center"/>
        </w:trPr>
        <w:tc>
          <w:tcPr>
            <w:tcW w:w="14011" w:type="dxa"/>
            <w:gridSpan w:val="4"/>
            <w:tcBorders>
              <w:top w:val="single" w:sz="4" w:space="0" w:color="auto"/>
              <w:bottom w:val="single" w:sz="4" w:space="0" w:color="000000" w:themeColor="text1"/>
            </w:tcBorders>
            <w:shd w:val="clear" w:color="auto" w:fill="F79548" w:themeFill="accent4"/>
          </w:tcPr>
          <w:p w14:paraId="5F493ED0" w14:textId="77777777" w:rsidR="00985584" w:rsidRPr="00D16F05" w:rsidRDefault="00985584" w:rsidP="00985584">
            <w:pPr>
              <w:pStyle w:val="HSAGTableText"/>
              <w:keepNext/>
              <w:contextualSpacing/>
              <w:rPr>
                <w:b/>
              </w:rPr>
            </w:pPr>
            <w:r>
              <w:rPr>
                <w:b/>
              </w:rPr>
              <w:t>PIHP Corrective Action Plan</w:t>
            </w:r>
          </w:p>
        </w:tc>
      </w:tr>
      <w:tr w:rsidR="00985584" w:rsidRPr="00984D92" w14:paraId="46DE174A" w14:textId="77777777" w:rsidTr="004E3199">
        <w:tblPrEx>
          <w:tblCellMar>
            <w:left w:w="108" w:type="dxa"/>
            <w:right w:w="108" w:type="dxa"/>
          </w:tblCellMar>
        </w:tblPrEx>
        <w:trPr>
          <w:trHeight w:val="374"/>
          <w:jc w:val="center"/>
        </w:trPr>
        <w:tc>
          <w:tcPr>
            <w:tcW w:w="14011" w:type="dxa"/>
            <w:gridSpan w:val="4"/>
            <w:tcBorders>
              <w:top w:val="single" w:sz="4" w:space="0" w:color="000000"/>
              <w:bottom w:val="single" w:sz="4" w:space="0" w:color="000000" w:themeColor="text1"/>
            </w:tcBorders>
          </w:tcPr>
          <w:p w14:paraId="2C47503E" w14:textId="002C207C" w:rsidR="00985584" w:rsidRPr="00984D92" w:rsidRDefault="00985584" w:rsidP="00985584">
            <w:pPr>
              <w:pStyle w:val="HSAGTableText"/>
              <w:contextualSpacing/>
              <w:rPr>
                <w:bCs/>
              </w:rPr>
            </w:pPr>
            <w:r>
              <w:rPr>
                <w:b/>
              </w:rPr>
              <w:t>Root Cause Analysis:</w:t>
            </w:r>
            <w:r w:rsidRPr="003F5489">
              <w:rPr>
                <w:bCs/>
              </w:rPr>
              <w:t xml:space="preserve"> </w:t>
            </w:r>
            <w:r w:rsidR="00D03F23" w:rsidRPr="00D03F23">
              <w:rPr>
                <w:bCs/>
              </w:rPr>
              <w:t>Miscommunication and transitions with staffing. </w:t>
            </w:r>
          </w:p>
        </w:tc>
      </w:tr>
      <w:tr w:rsidR="00985584" w:rsidRPr="00FC2C0F" w14:paraId="469ED551" w14:textId="77777777" w:rsidTr="004E3199">
        <w:tblPrEx>
          <w:tblCellMar>
            <w:left w:w="108" w:type="dxa"/>
            <w:right w:w="108" w:type="dxa"/>
          </w:tblCellMar>
        </w:tblPrEx>
        <w:trPr>
          <w:trHeight w:val="374"/>
          <w:jc w:val="center"/>
        </w:trPr>
        <w:tc>
          <w:tcPr>
            <w:tcW w:w="14011" w:type="dxa"/>
            <w:gridSpan w:val="4"/>
            <w:tcBorders>
              <w:top w:val="single" w:sz="4" w:space="0" w:color="000000"/>
              <w:bottom w:val="single" w:sz="4" w:space="0" w:color="000000" w:themeColor="text1"/>
            </w:tcBorders>
          </w:tcPr>
          <w:p w14:paraId="513057A2" w14:textId="6F1A7C1F" w:rsidR="00985584" w:rsidRPr="00FC2C0F" w:rsidRDefault="00985584" w:rsidP="00985584">
            <w:pPr>
              <w:pStyle w:val="HSAGTableText"/>
              <w:contextualSpacing/>
              <w:rPr>
                <w:bCs/>
              </w:rPr>
            </w:pPr>
            <w:r>
              <w:rPr>
                <w:b/>
              </w:rPr>
              <w:t>PIHP Remediation Plan</w:t>
            </w:r>
            <w:r w:rsidRPr="00B30934">
              <w:rPr>
                <w:b/>
              </w:rPr>
              <w:t>:</w:t>
            </w:r>
            <w:r>
              <w:rPr>
                <w:bCs/>
              </w:rPr>
              <w:t xml:space="preserve"> </w:t>
            </w:r>
            <w:r w:rsidR="00D03F23" w:rsidRPr="00D03F23">
              <w:rPr>
                <w:bCs/>
              </w:rPr>
              <w:t>Develop an emergency and post-stabilization services policy and incorporate the federal provisions required by 1/2026.</w:t>
            </w:r>
          </w:p>
        </w:tc>
      </w:tr>
      <w:tr w:rsidR="00985584" w:rsidRPr="00FC2C0F" w14:paraId="49280E74" w14:textId="77777777" w:rsidTr="004E3199">
        <w:tblPrEx>
          <w:tblCellMar>
            <w:left w:w="108" w:type="dxa"/>
            <w:right w:w="108" w:type="dxa"/>
          </w:tblCellMar>
        </w:tblPrEx>
        <w:trPr>
          <w:trHeight w:val="374"/>
          <w:jc w:val="center"/>
        </w:trPr>
        <w:tc>
          <w:tcPr>
            <w:tcW w:w="14011" w:type="dxa"/>
            <w:gridSpan w:val="4"/>
            <w:tcBorders>
              <w:top w:val="single" w:sz="4" w:space="0" w:color="000000"/>
              <w:bottom w:val="single" w:sz="4" w:space="0" w:color="000000" w:themeColor="text1"/>
            </w:tcBorders>
          </w:tcPr>
          <w:p w14:paraId="566A5ABE" w14:textId="350692D7" w:rsidR="00985584" w:rsidRPr="00FC2C0F" w:rsidRDefault="00985584" w:rsidP="00985584">
            <w:pPr>
              <w:pStyle w:val="HSAGTableText"/>
              <w:contextualSpacing/>
              <w:rPr>
                <w:bCs/>
              </w:rPr>
            </w:pPr>
            <w:r w:rsidRPr="00B30934">
              <w:rPr>
                <w:b/>
              </w:rPr>
              <w:t>Responsible Individual(s):</w:t>
            </w:r>
            <w:r>
              <w:rPr>
                <w:bCs/>
              </w:rPr>
              <w:t xml:space="preserve"> </w:t>
            </w:r>
            <w:r w:rsidR="00D03F23" w:rsidRPr="00D03F23">
              <w:rPr>
                <w:bCs/>
              </w:rPr>
              <w:t>Branislava Arsenov, Chief Clinical Officer </w:t>
            </w:r>
          </w:p>
        </w:tc>
      </w:tr>
      <w:tr w:rsidR="00985584" w:rsidRPr="00FC2C0F" w14:paraId="66EF7965" w14:textId="77777777" w:rsidTr="0065503C">
        <w:tblPrEx>
          <w:tblCellMar>
            <w:left w:w="108" w:type="dxa"/>
            <w:right w:w="108" w:type="dxa"/>
          </w:tblCellMar>
        </w:tblPrEx>
        <w:trPr>
          <w:trHeight w:val="374"/>
          <w:jc w:val="center"/>
        </w:trPr>
        <w:tc>
          <w:tcPr>
            <w:tcW w:w="14011" w:type="dxa"/>
            <w:gridSpan w:val="4"/>
            <w:tcBorders>
              <w:top w:val="single" w:sz="4" w:space="0" w:color="000000"/>
              <w:bottom w:val="single" w:sz="4" w:space="0" w:color="auto"/>
            </w:tcBorders>
          </w:tcPr>
          <w:p w14:paraId="20BF5368" w14:textId="021DB88E" w:rsidR="00985584" w:rsidRPr="00FC2C0F" w:rsidRDefault="00985584" w:rsidP="00985584">
            <w:pPr>
              <w:pStyle w:val="HSAGTableText"/>
              <w:contextualSpacing/>
              <w:rPr>
                <w:bCs/>
              </w:rPr>
            </w:pPr>
            <w:r w:rsidRPr="00B30934">
              <w:rPr>
                <w:b/>
              </w:rPr>
              <w:t>Timeline:</w:t>
            </w:r>
            <w:r>
              <w:rPr>
                <w:bCs/>
              </w:rPr>
              <w:t xml:space="preserve"> </w:t>
            </w:r>
            <w:r w:rsidR="00D03F23" w:rsidRPr="00D03F23">
              <w:rPr>
                <w:bCs/>
              </w:rPr>
              <w:t>Draft has been developed and is pending final review and approval by committees by 1/2026. </w:t>
            </w:r>
          </w:p>
        </w:tc>
      </w:tr>
      <w:tr w:rsidR="00985584" w14:paraId="0F0F3CB2" w14:textId="77777777" w:rsidTr="0065503C">
        <w:tblPrEx>
          <w:tblCellMar>
            <w:left w:w="108" w:type="dxa"/>
            <w:right w:w="108" w:type="dxa"/>
          </w:tblCellMar>
        </w:tblPrEx>
        <w:trPr>
          <w:trHeight w:val="374"/>
          <w:jc w:val="center"/>
        </w:trPr>
        <w:tc>
          <w:tcPr>
            <w:tcW w:w="10435" w:type="dxa"/>
            <w:gridSpan w:val="2"/>
            <w:tcBorders>
              <w:top w:val="single" w:sz="4" w:space="0" w:color="auto"/>
              <w:bottom w:val="single" w:sz="4" w:space="0" w:color="auto"/>
            </w:tcBorders>
            <w:shd w:val="clear" w:color="auto" w:fill="F2F2F2" w:themeFill="background1" w:themeFillShade="F2"/>
          </w:tcPr>
          <w:p w14:paraId="0C1115E0" w14:textId="20197EA7" w:rsidR="00985584" w:rsidRPr="00FC2C0F" w:rsidRDefault="00985584" w:rsidP="00985584">
            <w:pPr>
              <w:pStyle w:val="HSAGTableText"/>
              <w:contextualSpacing/>
              <w:rPr>
                <w:bCs/>
              </w:rPr>
            </w:pPr>
            <w:r>
              <w:rPr>
                <w:b/>
              </w:rPr>
              <w:t>MDHHS/HSAG Response:</w:t>
            </w:r>
            <w:r>
              <w:rPr>
                <w:bCs/>
              </w:rPr>
              <w:t xml:space="preserve"> </w:t>
            </w:r>
            <w:r w:rsidR="00690BA8" w:rsidRPr="00690BA8">
              <w:rPr>
                <w:bCs/>
              </w:rPr>
              <w:t xml:space="preserve">The PIHP’s remediation plan is sufficient to ensure compliance with the requirements for this program area. While no additional information is required to be submitted at this time, the PIHP must proceed with </w:t>
            </w:r>
            <w:proofErr w:type="gramStart"/>
            <w:r w:rsidR="00690BA8" w:rsidRPr="00690BA8">
              <w:rPr>
                <w:bCs/>
              </w:rPr>
              <w:t>timely</w:t>
            </w:r>
            <w:proofErr w:type="gramEnd"/>
            <w:r w:rsidR="00690BA8" w:rsidRPr="00690BA8">
              <w:rPr>
                <w:bCs/>
              </w:rPr>
              <w:t xml:space="preserve"> implementation of its action plans. Please note, an </w:t>
            </w:r>
            <w:r w:rsidR="00690BA8" w:rsidRPr="00690BA8">
              <w:rPr>
                <w:bCs/>
                <w:i/>
                <w:iCs/>
              </w:rPr>
              <w:t>Accepted</w:t>
            </w:r>
            <w:r w:rsidR="00690BA8" w:rsidRPr="00690BA8">
              <w:rPr>
                <w:bCs/>
              </w:rPr>
              <w:t xml:space="preserve"> designation is not a guarantee of </w:t>
            </w:r>
            <w:r w:rsidR="00690BA8" w:rsidRPr="00690BA8">
              <w:rPr>
                <w:bCs/>
              </w:rPr>
              <w:lastRenderedPageBreak/>
              <w:t>future compliance. Implementation of the PIHP’s action plans and demonstration of compliance will be assessed during future compliance review activities.</w:t>
            </w:r>
          </w:p>
        </w:tc>
        <w:tc>
          <w:tcPr>
            <w:tcW w:w="3576" w:type="dxa"/>
            <w:gridSpan w:val="2"/>
            <w:tcBorders>
              <w:top w:val="single" w:sz="4" w:space="0" w:color="auto"/>
              <w:bottom w:val="single" w:sz="4" w:space="0" w:color="auto"/>
            </w:tcBorders>
            <w:shd w:val="clear" w:color="auto" w:fill="F2F2F2" w:themeFill="background1" w:themeFillShade="F2"/>
          </w:tcPr>
          <w:p w14:paraId="0680E15C" w14:textId="1BDF80EC" w:rsidR="00985584" w:rsidRPr="00C123EE" w:rsidRDefault="00000000" w:rsidP="00985584">
            <w:pPr>
              <w:pStyle w:val="HSAGTableText"/>
              <w:contextualSpacing/>
              <w:rPr>
                <w:bCs/>
              </w:rPr>
            </w:pPr>
            <w:sdt>
              <w:sdtPr>
                <w:rPr>
                  <w:bCs/>
                </w:rPr>
                <w:id w:val="-1189753180"/>
                <w14:checkbox>
                  <w14:checked w14:val="1"/>
                  <w14:checkedState w14:val="2612" w14:font="MS Gothic"/>
                  <w14:uncheckedState w14:val="2610" w14:font="MS Gothic"/>
                </w14:checkbox>
              </w:sdtPr>
              <w:sdtContent>
                <w:r w:rsidR="00690BA8">
                  <w:rPr>
                    <w:rFonts w:ascii="MS Gothic" w:eastAsia="MS Gothic" w:hAnsi="MS Gothic" w:hint="eastAsia"/>
                    <w:bCs/>
                  </w:rPr>
                  <w:t>☒</w:t>
                </w:r>
              </w:sdtContent>
            </w:sdt>
            <w:r w:rsidR="00985584" w:rsidRPr="00C123EE">
              <w:rPr>
                <w:bCs/>
              </w:rPr>
              <w:t xml:space="preserve"> Accepted</w:t>
            </w:r>
          </w:p>
          <w:p w14:paraId="195235A1" w14:textId="77777777" w:rsidR="00985584" w:rsidRPr="00C123EE" w:rsidRDefault="00000000" w:rsidP="00985584">
            <w:pPr>
              <w:pStyle w:val="HSAGTableText"/>
              <w:contextualSpacing/>
              <w:rPr>
                <w:bCs/>
              </w:rPr>
            </w:pPr>
            <w:sdt>
              <w:sdtPr>
                <w:rPr>
                  <w:bCs/>
                </w:rPr>
                <w:id w:val="-472068214"/>
                <w14:checkbox>
                  <w14:checked w14:val="0"/>
                  <w14:checkedState w14:val="2612" w14:font="MS Gothic"/>
                  <w14:uncheckedState w14:val="2610" w14:font="MS Gothic"/>
                </w14:checkbox>
              </w:sdtPr>
              <w:sdtContent>
                <w:r w:rsidR="00985584" w:rsidRPr="00C123EE">
                  <w:rPr>
                    <w:rFonts w:ascii="MS Gothic" w:eastAsia="MS Gothic" w:hAnsi="MS Gothic" w:hint="eastAsia"/>
                    <w:bCs/>
                  </w:rPr>
                  <w:t>☐</w:t>
                </w:r>
              </w:sdtContent>
            </w:sdt>
            <w:r w:rsidR="00985584" w:rsidRPr="00C123EE">
              <w:rPr>
                <w:bCs/>
              </w:rPr>
              <w:t xml:space="preserve"> Accepted </w:t>
            </w:r>
            <w:r w:rsidR="00985584">
              <w:rPr>
                <w:bCs/>
              </w:rPr>
              <w:t>W</w:t>
            </w:r>
            <w:r w:rsidR="00985584" w:rsidRPr="00C123EE">
              <w:rPr>
                <w:bCs/>
              </w:rPr>
              <w:t>ith Recommendations</w:t>
            </w:r>
          </w:p>
          <w:p w14:paraId="01E0259A" w14:textId="77777777" w:rsidR="00985584" w:rsidRDefault="00000000" w:rsidP="00985584">
            <w:pPr>
              <w:pStyle w:val="HSAGTableText"/>
              <w:contextualSpacing/>
              <w:rPr>
                <w:b/>
              </w:rPr>
            </w:pPr>
            <w:sdt>
              <w:sdtPr>
                <w:rPr>
                  <w:bCs/>
                </w:rPr>
                <w:id w:val="1220401078"/>
                <w14:checkbox>
                  <w14:checked w14:val="0"/>
                  <w14:checkedState w14:val="2612" w14:font="MS Gothic"/>
                  <w14:uncheckedState w14:val="2610" w14:font="MS Gothic"/>
                </w14:checkbox>
              </w:sdtPr>
              <w:sdtContent>
                <w:r w:rsidR="00985584" w:rsidRPr="00C123EE">
                  <w:rPr>
                    <w:rFonts w:ascii="MS Gothic" w:eastAsia="MS Gothic" w:hAnsi="MS Gothic" w:hint="eastAsia"/>
                    <w:bCs/>
                  </w:rPr>
                  <w:t>☐</w:t>
                </w:r>
              </w:sdtContent>
            </w:sdt>
            <w:r w:rsidR="00985584" w:rsidRPr="00C123EE">
              <w:rPr>
                <w:bCs/>
              </w:rPr>
              <w:t xml:space="preserve"> Not Accepted</w:t>
            </w:r>
          </w:p>
        </w:tc>
      </w:tr>
    </w:tbl>
    <w:p w14:paraId="27A05489" w14:textId="569772FD" w:rsidR="0065503C" w:rsidRPr="00916120" w:rsidRDefault="007401D6" w:rsidP="00916120">
      <w:pPr>
        <w:pStyle w:val="Heading2"/>
        <w:pageBreakBefore/>
        <w:rPr>
          <w:sz w:val="28"/>
        </w:rPr>
      </w:pPr>
      <w:r w:rsidRPr="001408D5">
        <w:rPr>
          <w:sz w:val="28"/>
        </w:rPr>
        <w:lastRenderedPageBreak/>
        <w:t>Standard VII—Provider Selection</w:t>
      </w:r>
    </w:p>
    <w:tbl>
      <w:tblPr>
        <w:tblW w:w="14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
        <w:gridCol w:w="6466"/>
        <w:gridCol w:w="3957"/>
        <w:gridCol w:w="2159"/>
        <w:gridCol w:w="1421"/>
      </w:tblGrid>
      <w:tr w:rsidR="0065503C" w:rsidRPr="00903F99" w14:paraId="3EFAB5DF" w14:textId="77777777" w:rsidTr="004E3199">
        <w:trPr>
          <w:trHeight w:val="374"/>
          <w:tblHeader/>
          <w:jc w:val="center"/>
        </w:trPr>
        <w:tc>
          <w:tcPr>
            <w:tcW w:w="14011" w:type="dxa"/>
            <w:gridSpan w:val="5"/>
            <w:shd w:val="clear" w:color="auto" w:fill="00549E"/>
            <w:vAlign w:val="center"/>
            <w:hideMark/>
          </w:tcPr>
          <w:p w14:paraId="07B17C50" w14:textId="0C21993C" w:rsidR="0065503C" w:rsidRPr="00903F99" w:rsidRDefault="007401D6" w:rsidP="004E3199">
            <w:pPr>
              <w:pStyle w:val="HSAGTableHeading"/>
              <w:spacing w:before="0" w:after="0"/>
              <w:contextualSpacing/>
            </w:pPr>
            <w:r w:rsidRPr="001408D5">
              <w:t>Standard VII—Provider Selection</w:t>
            </w:r>
          </w:p>
        </w:tc>
      </w:tr>
      <w:tr w:rsidR="0065503C" w:rsidRPr="0026679F" w14:paraId="6538E198" w14:textId="77777777" w:rsidTr="007401D6">
        <w:trPr>
          <w:trHeight w:val="374"/>
          <w:tblHeader/>
          <w:jc w:val="center"/>
        </w:trPr>
        <w:tc>
          <w:tcPr>
            <w:tcW w:w="6474" w:type="dxa"/>
            <w:gridSpan w:val="2"/>
            <w:shd w:val="clear" w:color="auto" w:fill="DFECF7"/>
            <w:vAlign w:val="center"/>
            <w:hideMark/>
          </w:tcPr>
          <w:p w14:paraId="331FF751" w14:textId="77777777" w:rsidR="0065503C" w:rsidRPr="0026679F" w:rsidRDefault="0065503C" w:rsidP="004E3199">
            <w:pPr>
              <w:pStyle w:val="HSAGTableHeading"/>
              <w:rPr>
                <w:color w:val="auto"/>
              </w:rPr>
            </w:pPr>
            <w:r w:rsidRPr="0026679F">
              <w:rPr>
                <w:color w:val="auto"/>
              </w:rPr>
              <w:t>Requirement</w:t>
            </w:r>
          </w:p>
        </w:tc>
        <w:tc>
          <w:tcPr>
            <w:tcW w:w="6116" w:type="dxa"/>
            <w:gridSpan w:val="2"/>
            <w:shd w:val="clear" w:color="auto" w:fill="DFECF7"/>
            <w:vAlign w:val="center"/>
            <w:hideMark/>
          </w:tcPr>
          <w:p w14:paraId="6C5FA6F4" w14:textId="77777777" w:rsidR="0065503C" w:rsidRPr="0026679F" w:rsidRDefault="0065503C" w:rsidP="004E3199">
            <w:pPr>
              <w:pStyle w:val="HSAGTableHeading"/>
              <w:rPr>
                <w:color w:val="auto"/>
              </w:rPr>
            </w:pPr>
            <w:r w:rsidRPr="0026679F">
              <w:rPr>
                <w:color w:val="auto"/>
              </w:rPr>
              <w:t>Supporting Documentation</w:t>
            </w:r>
          </w:p>
        </w:tc>
        <w:tc>
          <w:tcPr>
            <w:tcW w:w="1421" w:type="dxa"/>
            <w:shd w:val="clear" w:color="auto" w:fill="DFECF7"/>
            <w:vAlign w:val="center"/>
            <w:hideMark/>
          </w:tcPr>
          <w:p w14:paraId="2C94D840" w14:textId="77777777" w:rsidR="0065503C" w:rsidRPr="0026679F" w:rsidRDefault="0065503C" w:rsidP="004E3199">
            <w:pPr>
              <w:pStyle w:val="HSAGTableHeading"/>
              <w:rPr>
                <w:color w:val="auto"/>
              </w:rPr>
            </w:pPr>
            <w:r w:rsidRPr="0026679F">
              <w:rPr>
                <w:color w:val="auto"/>
              </w:rPr>
              <w:t>Score</w:t>
            </w:r>
          </w:p>
        </w:tc>
      </w:tr>
      <w:tr w:rsidR="007401D6" w:rsidRPr="00903F99" w14:paraId="691EBA93" w14:textId="77777777" w:rsidTr="007401D6">
        <w:trPr>
          <w:trHeight w:val="374"/>
          <w:jc w:val="center"/>
        </w:trPr>
        <w:tc>
          <w:tcPr>
            <w:tcW w:w="6474" w:type="dxa"/>
            <w:gridSpan w:val="2"/>
            <w:vMerge w:val="restart"/>
          </w:tcPr>
          <w:p w14:paraId="250931D1" w14:textId="77777777" w:rsidR="007401D6" w:rsidRPr="001408D5" w:rsidRDefault="007401D6" w:rsidP="007401D6">
            <w:pPr>
              <w:pStyle w:val="ListNoNum"/>
              <w:keepNext/>
              <w:rPr>
                <w:szCs w:val="18"/>
              </w:rPr>
            </w:pPr>
            <w:r w:rsidRPr="001408D5">
              <w:rPr>
                <w:spacing w:val="-4"/>
              </w:rPr>
              <w:t>10.</w:t>
            </w:r>
            <w:r w:rsidRPr="001408D5">
              <w:rPr>
                <w:spacing w:val="-4"/>
              </w:rPr>
              <w:tab/>
            </w:r>
            <w:r w:rsidRPr="001408D5">
              <w:rPr>
                <w:i/>
              </w:rPr>
              <w:t>For credentialing and recredentialing, the PIHP primary source verifies:</w:t>
            </w:r>
          </w:p>
          <w:p w14:paraId="6CC8EA87" w14:textId="77777777" w:rsidR="007401D6" w:rsidRPr="001408D5" w:rsidRDefault="007401D6" w:rsidP="007401D6">
            <w:pPr>
              <w:pStyle w:val="ListNoNum2"/>
              <w:ind w:left="692"/>
            </w:pPr>
            <w:r w:rsidRPr="001408D5">
              <w:t>a</w:t>
            </w:r>
            <w:proofErr w:type="gramStart"/>
            <w:r w:rsidRPr="001408D5">
              <w:t xml:space="preserve">. </w:t>
            </w:r>
            <w:r w:rsidRPr="001408D5">
              <w:tab/>
            </w:r>
            <w:r w:rsidRPr="001408D5">
              <w:rPr>
                <w:i/>
                <w:iCs/>
              </w:rPr>
              <w:t>Official</w:t>
            </w:r>
            <w:proofErr w:type="gramEnd"/>
            <w:r w:rsidRPr="001408D5">
              <w:rPr>
                <w:i/>
                <w:iCs/>
              </w:rPr>
              <w:t xml:space="preserve"> National Practitioner Databank (NPDB)/Healthcare Integrity and Protection Databank (HIPDB) query or, in lieu of the NPDB/HIPDB query, all the following must be verified:</w:t>
            </w:r>
          </w:p>
          <w:p w14:paraId="72DA2172" w14:textId="77777777" w:rsidR="007401D6" w:rsidRPr="001408D5" w:rsidRDefault="007401D6" w:rsidP="007401D6">
            <w:pPr>
              <w:pStyle w:val="ListNoNum3"/>
              <w:rPr>
                <w:iCs/>
              </w:rPr>
            </w:pPr>
            <w:proofErr w:type="spellStart"/>
            <w:r w:rsidRPr="001408D5">
              <w:t>i</w:t>
            </w:r>
            <w:proofErr w:type="spellEnd"/>
            <w:proofErr w:type="gramStart"/>
            <w:r w:rsidRPr="001408D5">
              <w:t>.</w:t>
            </w:r>
            <w:r w:rsidRPr="001408D5">
              <w:rPr>
                <w:i/>
              </w:rPr>
              <w:t xml:space="preserve"> </w:t>
            </w:r>
            <w:r w:rsidRPr="001408D5">
              <w:rPr>
                <w:i/>
              </w:rPr>
              <w:tab/>
              <w:t>Minimum</w:t>
            </w:r>
            <w:proofErr w:type="gramEnd"/>
            <w:r w:rsidRPr="001408D5">
              <w:rPr>
                <w:i/>
              </w:rPr>
              <w:t xml:space="preserve"> five-year history of professional liability claims resulting in a judgment or settlement.</w:t>
            </w:r>
          </w:p>
          <w:p w14:paraId="3541FB8A" w14:textId="77777777" w:rsidR="007401D6" w:rsidRPr="001408D5" w:rsidRDefault="007401D6" w:rsidP="007401D6">
            <w:pPr>
              <w:pStyle w:val="ListNoNum3"/>
              <w:rPr>
                <w:iCs/>
              </w:rPr>
            </w:pPr>
            <w:r w:rsidRPr="001408D5">
              <w:t>ii</w:t>
            </w:r>
            <w:proofErr w:type="gramStart"/>
            <w:r w:rsidRPr="001408D5">
              <w:t>.</w:t>
            </w:r>
            <w:r w:rsidRPr="001408D5">
              <w:rPr>
                <w:i/>
              </w:rPr>
              <w:t xml:space="preserve"> </w:t>
            </w:r>
            <w:r w:rsidRPr="001408D5">
              <w:rPr>
                <w:i/>
              </w:rPr>
              <w:tab/>
              <w:t>Disciplinary</w:t>
            </w:r>
            <w:proofErr w:type="gramEnd"/>
            <w:r w:rsidRPr="001408D5">
              <w:rPr>
                <w:i/>
              </w:rPr>
              <w:t xml:space="preserve"> status with </w:t>
            </w:r>
            <w:proofErr w:type="gramStart"/>
            <w:r w:rsidRPr="001408D5">
              <w:rPr>
                <w:i/>
              </w:rPr>
              <w:t>regulatory</w:t>
            </w:r>
            <w:proofErr w:type="gramEnd"/>
            <w:r w:rsidRPr="001408D5">
              <w:rPr>
                <w:i/>
              </w:rPr>
              <w:t xml:space="preserve"> board or agency. </w:t>
            </w:r>
          </w:p>
          <w:p w14:paraId="3F5BB0FA" w14:textId="77777777" w:rsidR="007401D6" w:rsidRPr="001408D5" w:rsidRDefault="007401D6" w:rsidP="007401D6">
            <w:pPr>
              <w:pStyle w:val="ListNoNum3"/>
              <w:rPr>
                <w:iCs/>
              </w:rPr>
            </w:pPr>
            <w:r w:rsidRPr="001408D5">
              <w:t>iii</w:t>
            </w:r>
            <w:proofErr w:type="gramStart"/>
            <w:r w:rsidRPr="001408D5">
              <w:t>.</w:t>
            </w:r>
            <w:r w:rsidRPr="001408D5">
              <w:rPr>
                <w:i/>
              </w:rPr>
              <w:t xml:space="preserve"> </w:t>
            </w:r>
            <w:r w:rsidRPr="001408D5">
              <w:rPr>
                <w:i/>
              </w:rPr>
              <w:tab/>
              <w:t>Medicare</w:t>
            </w:r>
            <w:proofErr w:type="gramEnd"/>
            <w:r w:rsidRPr="001408D5">
              <w:rPr>
                <w:i/>
              </w:rPr>
              <w:t>/Medicaid sanctions.</w:t>
            </w:r>
          </w:p>
          <w:p w14:paraId="3BA14A7A" w14:textId="77777777" w:rsidR="007401D6" w:rsidRPr="001408D5" w:rsidRDefault="007401D6" w:rsidP="007401D6">
            <w:pPr>
              <w:pStyle w:val="HSAGNumbers"/>
              <w:numPr>
                <w:ilvl w:val="0"/>
                <w:numId w:val="0"/>
              </w:numPr>
              <w:contextualSpacing/>
              <w:rPr>
                <w:i/>
              </w:rPr>
            </w:pPr>
          </w:p>
          <w:p w14:paraId="35B2F420" w14:textId="77777777" w:rsidR="007401D6" w:rsidRPr="001408D5" w:rsidRDefault="007401D6" w:rsidP="007401D6">
            <w:pPr>
              <w:pStyle w:val="HSAGTableContracttext"/>
            </w:pPr>
            <w:r w:rsidRPr="001408D5">
              <w:t>42 CFR §438.214(e)</w:t>
            </w:r>
          </w:p>
          <w:p w14:paraId="523375F6" w14:textId="2D4C463E" w:rsidR="007401D6" w:rsidRPr="00903F99" w:rsidRDefault="007401D6" w:rsidP="007401D6">
            <w:pPr>
              <w:pStyle w:val="HSAGTableContracttext"/>
              <w:keepNext/>
              <w:spacing w:before="0" w:after="0"/>
              <w:ind w:left="1440"/>
              <w:contextualSpacing/>
              <w:rPr>
                <w:i/>
                <w:szCs w:val="18"/>
              </w:rPr>
            </w:pPr>
            <w:r w:rsidRPr="001408D5">
              <w:rPr>
                <w:szCs w:val="16"/>
              </w:rPr>
              <w:t>Credentialing and Re-credentialing Processes—C(3)(d)</w:t>
            </w:r>
          </w:p>
        </w:tc>
        <w:tc>
          <w:tcPr>
            <w:tcW w:w="6116" w:type="dxa"/>
            <w:gridSpan w:val="2"/>
            <w:shd w:val="clear" w:color="auto" w:fill="FFFFFF" w:themeFill="background1"/>
          </w:tcPr>
          <w:p w14:paraId="622F9176" w14:textId="77777777" w:rsidR="007401D6" w:rsidRPr="001408D5" w:rsidRDefault="007401D6" w:rsidP="007401D6">
            <w:pPr>
              <w:pStyle w:val="HSAGTableText"/>
              <w:contextualSpacing/>
              <w:rPr>
                <w:b/>
                <w:bCs/>
              </w:rPr>
            </w:pPr>
            <w:r w:rsidRPr="001408D5">
              <w:rPr>
                <w:b/>
                <w:bCs/>
              </w:rPr>
              <w:t>HSAG Required Evidence:</w:t>
            </w:r>
          </w:p>
          <w:p w14:paraId="47AEE436" w14:textId="77777777" w:rsidR="00EC0934" w:rsidRDefault="007401D6" w:rsidP="00595A8D">
            <w:pPr>
              <w:pStyle w:val="HSAGTableText"/>
              <w:numPr>
                <w:ilvl w:val="0"/>
                <w:numId w:val="19"/>
              </w:numPr>
              <w:contextualSpacing/>
            </w:pPr>
            <w:r w:rsidRPr="001408D5">
              <w:t>Policies and procedures</w:t>
            </w:r>
          </w:p>
          <w:p w14:paraId="1B412DDE" w14:textId="653F47B5" w:rsidR="007401D6" w:rsidRPr="00903F99" w:rsidRDefault="007401D6" w:rsidP="00595A8D">
            <w:pPr>
              <w:pStyle w:val="HSAGTableText"/>
              <w:numPr>
                <w:ilvl w:val="0"/>
                <w:numId w:val="19"/>
              </w:numPr>
              <w:contextualSpacing/>
            </w:pPr>
            <w:r w:rsidRPr="001408D5">
              <w:t>HSAG will also use the results of the Practitioner Credentialing and Recredentialing File Reviews</w:t>
            </w:r>
          </w:p>
        </w:tc>
        <w:tc>
          <w:tcPr>
            <w:tcW w:w="1421" w:type="dxa"/>
            <w:vMerge w:val="restart"/>
            <w:shd w:val="clear" w:color="auto" w:fill="FFFFFF" w:themeFill="background1"/>
          </w:tcPr>
          <w:p w14:paraId="4286FCFC" w14:textId="77777777" w:rsidR="007401D6" w:rsidRPr="001408D5" w:rsidRDefault="00000000" w:rsidP="007401D6">
            <w:pPr>
              <w:spacing w:before="60" w:after="0"/>
              <w:contextualSpacing/>
              <w:rPr>
                <w:sz w:val="22"/>
              </w:rPr>
            </w:pPr>
            <w:sdt>
              <w:sdtPr>
                <w:rPr>
                  <w:sz w:val="22"/>
                </w:rPr>
                <w:id w:val="-1700465850"/>
                <w14:checkbox>
                  <w14:checked w14:val="0"/>
                  <w14:checkedState w14:val="2612" w14:font="MS Gothic"/>
                  <w14:uncheckedState w14:val="2610" w14:font="MS Gothic"/>
                </w14:checkbox>
              </w:sdtPr>
              <w:sdtContent>
                <w:r w:rsidR="007401D6" w:rsidRPr="001408D5">
                  <w:rPr>
                    <w:rFonts w:ascii="MS Gothic" w:eastAsia="MS Gothic" w:hAnsi="MS Gothic" w:hint="eastAsia"/>
                    <w:sz w:val="22"/>
                  </w:rPr>
                  <w:t>☐</w:t>
                </w:r>
              </w:sdtContent>
            </w:sdt>
            <w:r w:rsidR="007401D6" w:rsidRPr="001408D5">
              <w:rPr>
                <w:sz w:val="22"/>
              </w:rPr>
              <w:t xml:space="preserve"> Met</w:t>
            </w:r>
          </w:p>
          <w:p w14:paraId="4FA41F32" w14:textId="77777777" w:rsidR="007401D6" w:rsidRPr="001408D5" w:rsidRDefault="00000000" w:rsidP="007401D6">
            <w:pPr>
              <w:spacing w:before="60" w:after="0"/>
              <w:contextualSpacing/>
              <w:rPr>
                <w:sz w:val="22"/>
              </w:rPr>
            </w:pPr>
            <w:sdt>
              <w:sdtPr>
                <w:rPr>
                  <w:sz w:val="22"/>
                </w:rPr>
                <w:id w:val="1132143910"/>
                <w14:checkbox>
                  <w14:checked w14:val="1"/>
                  <w14:checkedState w14:val="2612" w14:font="MS Gothic"/>
                  <w14:uncheckedState w14:val="2610" w14:font="MS Gothic"/>
                </w14:checkbox>
              </w:sdtPr>
              <w:sdtContent>
                <w:r w:rsidR="007401D6" w:rsidRPr="001408D5">
                  <w:rPr>
                    <w:rFonts w:ascii="MS Gothic" w:eastAsia="MS Gothic" w:hAnsi="MS Gothic" w:hint="eastAsia"/>
                    <w:sz w:val="22"/>
                  </w:rPr>
                  <w:t>☒</w:t>
                </w:r>
              </w:sdtContent>
            </w:sdt>
            <w:r w:rsidR="007401D6" w:rsidRPr="001408D5">
              <w:rPr>
                <w:sz w:val="22"/>
              </w:rPr>
              <w:t xml:space="preserve"> Not Met</w:t>
            </w:r>
          </w:p>
          <w:p w14:paraId="664D9E39" w14:textId="77777777" w:rsidR="007401D6" w:rsidRPr="001408D5" w:rsidRDefault="00000000" w:rsidP="007401D6">
            <w:pPr>
              <w:spacing w:before="60" w:after="0"/>
              <w:contextualSpacing/>
              <w:rPr>
                <w:sz w:val="22"/>
              </w:rPr>
            </w:pPr>
            <w:sdt>
              <w:sdtPr>
                <w:rPr>
                  <w:sz w:val="22"/>
                </w:rPr>
                <w:id w:val="1589578439"/>
                <w14:checkbox>
                  <w14:checked w14:val="0"/>
                  <w14:checkedState w14:val="2612" w14:font="MS Gothic"/>
                  <w14:uncheckedState w14:val="2610" w14:font="MS Gothic"/>
                </w14:checkbox>
              </w:sdtPr>
              <w:sdtContent>
                <w:r w:rsidR="007401D6" w:rsidRPr="001408D5">
                  <w:rPr>
                    <w:rFonts w:ascii="MS Gothic" w:eastAsia="MS Gothic" w:hAnsi="MS Gothic" w:hint="eastAsia"/>
                    <w:sz w:val="22"/>
                  </w:rPr>
                  <w:t>☐</w:t>
                </w:r>
              </w:sdtContent>
            </w:sdt>
            <w:r w:rsidR="007401D6" w:rsidRPr="001408D5">
              <w:rPr>
                <w:sz w:val="22"/>
              </w:rPr>
              <w:t xml:space="preserve"> NA</w:t>
            </w:r>
          </w:p>
          <w:p w14:paraId="2E896CC6" w14:textId="77777777" w:rsidR="007401D6" w:rsidRPr="00903F99" w:rsidRDefault="007401D6" w:rsidP="007401D6">
            <w:pPr>
              <w:spacing w:before="0" w:after="0"/>
              <w:contextualSpacing/>
              <w:rPr>
                <w:sz w:val="22"/>
              </w:rPr>
            </w:pPr>
          </w:p>
        </w:tc>
      </w:tr>
      <w:tr w:rsidR="007401D6" w:rsidRPr="00903F99" w14:paraId="6936001B" w14:textId="77777777" w:rsidTr="007401D6">
        <w:trPr>
          <w:trHeight w:val="374"/>
          <w:jc w:val="center"/>
        </w:trPr>
        <w:tc>
          <w:tcPr>
            <w:tcW w:w="6474" w:type="dxa"/>
            <w:gridSpan w:val="2"/>
            <w:vMerge/>
          </w:tcPr>
          <w:p w14:paraId="5AE880A7" w14:textId="77777777" w:rsidR="007401D6" w:rsidRPr="00903F99" w:rsidRDefault="007401D6" w:rsidP="00595A8D">
            <w:pPr>
              <w:pStyle w:val="HSAGNumbers"/>
              <w:numPr>
                <w:ilvl w:val="0"/>
                <w:numId w:val="16"/>
              </w:numPr>
              <w:spacing w:before="0" w:after="0"/>
              <w:contextualSpacing/>
            </w:pPr>
          </w:p>
        </w:tc>
        <w:tc>
          <w:tcPr>
            <w:tcW w:w="6116" w:type="dxa"/>
            <w:gridSpan w:val="2"/>
            <w:shd w:val="clear" w:color="auto" w:fill="FFFFFF" w:themeFill="background1"/>
          </w:tcPr>
          <w:p w14:paraId="4ABBE179" w14:textId="77777777" w:rsidR="007401D6" w:rsidRPr="001408D5" w:rsidRDefault="007401D6" w:rsidP="007401D6">
            <w:pPr>
              <w:pStyle w:val="HSAGTableText"/>
              <w:contextualSpacing/>
              <w:rPr>
                <w:b/>
                <w:bCs/>
              </w:rPr>
            </w:pPr>
            <w:r w:rsidRPr="001408D5">
              <w:rPr>
                <w:b/>
                <w:bCs/>
              </w:rPr>
              <w:t>Evidence as Submitted by the PIHP:</w:t>
            </w:r>
          </w:p>
          <w:p w14:paraId="24C5C6F6" w14:textId="77777777" w:rsidR="007401D6" w:rsidRPr="001408D5" w:rsidRDefault="007401D6" w:rsidP="00595A8D">
            <w:pPr>
              <w:pStyle w:val="HSAGTableText"/>
              <w:numPr>
                <w:ilvl w:val="0"/>
                <w:numId w:val="19"/>
              </w:numPr>
              <w:contextualSpacing/>
            </w:pPr>
            <w:r w:rsidRPr="001408D5">
              <w:t>Credentialing Policy and Procedure: Definitions; Page 5 of PDF, B.4.d</w:t>
            </w:r>
          </w:p>
          <w:p w14:paraId="1CE36ADD" w14:textId="77777777" w:rsidR="007401D6" w:rsidRDefault="007401D6" w:rsidP="00595A8D">
            <w:pPr>
              <w:pStyle w:val="HSAGTableText"/>
              <w:numPr>
                <w:ilvl w:val="0"/>
                <w:numId w:val="19"/>
              </w:numPr>
              <w:contextualSpacing/>
            </w:pPr>
            <w:r w:rsidRPr="001408D5">
              <w:t xml:space="preserve">2024_CMHSP_Staff_Cred </w:t>
            </w:r>
            <w:proofErr w:type="spellStart"/>
            <w:r w:rsidRPr="001408D5">
              <w:t>ReCred</w:t>
            </w:r>
            <w:proofErr w:type="spellEnd"/>
            <w:r w:rsidRPr="001408D5">
              <w:t xml:space="preserve"> Monitoring Tool: Page 2 and 4</w:t>
            </w:r>
          </w:p>
          <w:p w14:paraId="249C6C0C" w14:textId="5DAEFB16" w:rsidR="007401D6" w:rsidRPr="00903F99" w:rsidRDefault="007401D6" w:rsidP="00595A8D">
            <w:pPr>
              <w:pStyle w:val="HSAGTableText"/>
              <w:numPr>
                <w:ilvl w:val="0"/>
                <w:numId w:val="19"/>
              </w:numPr>
              <w:contextualSpacing/>
            </w:pPr>
            <w:r w:rsidRPr="001408D5">
              <w:t>2024_CMHSP_Delegated_Managed_Care_</w:t>
            </w:r>
            <w:proofErr w:type="gramStart"/>
            <w:r w:rsidRPr="001408D5">
              <w:t>Tool:Row</w:t>
            </w:r>
            <w:proofErr w:type="gramEnd"/>
            <w:r w:rsidRPr="001408D5">
              <w:t xml:space="preserve"> 386</w:t>
            </w:r>
          </w:p>
        </w:tc>
        <w:tc>
          <w:tcPr>
            <w:tcW w:w="1421" w:type="dxa"/>
            <w:vMerge/>
            <w:shd w:val="clear" w:color="auto" w:fill="FFFFFF" w:themeFill="background1"/>
          </w:tcPr>
          <w:p w14:paraId="1FE9D8FC" w14:textId="77777777" w:rsidR="007401D6" w:rsidRPr="00903F99" w:rsidRDefault="007401D6" w:rsidP="007401D6">
            <w:pPr>
              <w:spacing w:before="0" w:after="0"/>
              <w:contextualSpacing/>
              <w:rPr>
                <w:sz w:val="22"/>
              </w:rPr>
            </w:pPr>
          </w:p>
        </w:tc>
      </w:tr>
      <w:tr w:rsidR="007401D6" w:rsidRPr="00903F99" w14:paraId="6CD4F5A7" w14:textId="77777777" w:rsidTr="004E3199">
        <w:trPr>
          <w:trHeight w:val="374"/>
          <w:jc w:val="center"/>
        </w:trPr>
        <w:tc>
          <w:tcPr>
            <w:tcW w:w="14011" w:type="dxa"/>
            <w:gridSpan w:val="5"/>
            <w:vAlign w:val="center"/>
          </w:tcPr>
          <w:p w14:paraId="57AEED5D" w14:textId="55E46DE8" w:rsidR="007401D6" w:rsidRPr="00903F99" w:rsidRDefault="007401D6" w:rsidP="007401D6">
            <w:pPr>
              <w:pStyle w:val="HSAGTableText"/>
              <w:spacing w:before="0" w:after="0"/>
            </w:pPr>
            <w:r w:rsidRPr="001408D5">
              <w:rPr>
                <w:b/>
              </w:rPr>
              <w:t>PIHP Description of Process:</w:t>
            </w:r>
            <w:r w:rsidRPr="001408D5">
              <w:t xml:space="preserve"> NMRE policy requires NPDB verification query at the time of credentialing and recredentialing, or in lieu of NPDB query, </w:t>
            </w:r>
            <w:proofErr w:type="gramStart"/>
            <w:r w:rsidRPr="001408D5">
              <w:t>all of</w:t>
            </w:r>
            <w:proofErr w:type="gramEnd"/>
            <w:r w:rsidRPr="001408D5">
              <w:t xml:space="preserve"> the requirements of 42 CFR 438.21. This requirement flows from the PIHP to our CMHSPs via our provider network agreement with them. We also review this when we pull samples during CMHSP monitoring. </w:t>
            </w:r>
            <w:proofErr w:type="gramStart"/>
            <w:r w:rsidRPr="001408D5">
              <w:t>All of</w:t>
            </w:r>
            <w:proofErr w:type="gramEnd"/>
            <w:r w:rsidRPr="001408D5">
              <w:t xml:space="preserve"> the CMHSPs contracted with the NMRE have NPDB logins and use NPDB.</w:t>
            </w:r>
          </w:p>
        </w:tc>
      </w:tr>
      <w:tr w:rsidR="007401D6" w:rsidRPr="0026679F" w14:paraId="1387ACBB" w14:textId="77777777" w:rsidTr="004E3199">
        <w:trPr>
          <w:trHeight w:val="374"/>
          <w:jc w:val="center"/>
        </w:trPr>
        <w:tc>
          <w:tcPr>
            <w:tcW w:w="14011" w:type="dxa"/>
            <w:gridSpan w:val="5"/>
            <w:tcBorders>
              <w:bottom w:val="single" w:sz="4" w:space="0" w:color="000000"/>
            </w:tcBorders>
            <w:vAlign w:val="center"/>
          </w:tcPr>
          <w:p w14:paraId="37594210" w14:textId="77777777" w:rsidR="007401D6" w:rsidRPr="001408D5" w:rsidRDefault="007401D6" w:rsidP="007401D6">
            <w:pPr>
              <w:pStyle w:val="HSAGTableText"/>
            </w:pPr>
            <w:r w:rsidRPr="001408D5">
              <w:rPr>
                <w:b/>
              </w:rPr>
              <w:t>HSAG Findings:</w:t>
            </w:r>
            <w:r w:rsidRPr="001408D5">
              <w:t xml:space="preserve"> </w:t>
            </w:r>
            <w:r w:rsidRPr="00D377F5">
              <w:rPr>
                <w:highlight w:val="yellow"/>
              </w:rPr>
              <w:t>For one practitioner record, the PIHP’s delegate did not check the NPDB prior to the practitioner’s credentialing date. While the missing NPDB query was identified during an internal audit, and the NPDB was checked after the credentialing approval date, the PIHP’s delegate did not perform PSV within the required time frame.</w:t>
            </w:r>
            <w:r w:rsidRPr="001408D5">
              <w:t xml:space="preserve"> </w:t>
            </w:r>
          </w:p>
          <w:p w14:paraId="40E104F3" w14:textId="76481F0D" w:rsidR="007401D6" w:rsidRPr="0026679F" w:rsidRDefault="007401D6" w:rsidP="007401D6">
            <w:pPr>
              <w:pStyle w:val="HSAGTableText"/>
              <w:spacing w:before="0"/>
            </w:pPr>
            <w:r w:rsidRPr="001408D5">
              <w:rPr>
                <w:b/>
                <w:bCs/>
              </w:rPr>
              <w:t>Recommendations:</w:t>
            </w:r>
            <w:r w:rsidRPr="001408D5">
              <w:t xml:space="preserve"> </w:t>
            </w:r>
            <w:r w:rsidRPr="00D377F5">
              <w:rPr>
                <w:highlight w:val="yellow"/>
              </w:rPr>
              <w:t>For two case files, the NPDB was not included in the credentialing case files. The PIHP staff members stated during the site review that this was because the practitioners were not licensed professionals. As such, HSAG recommends that the PIHP consult with MDHHS to determine whether these unlicensed professionals fall under the scope of MDHHS’ credentialing policy. Additionally, HSAG recommends that the PIHP clearly identify the requirements of this element for both credentialing and recredentialing within its credentialing policy.</w:t>
            </w:r>
            <w:r w:rsidRPr="001408D5">
              <w:t xml:space="preserve">  </w:t>
            </w:r>
          </w:p>
        </w:tc>
      </w:tr>
      <w:tr w:rsidR="007401D6" w:rsidRPr="0026679F" w14:paraId="58E5630C" w14:textId="77777777" w:rsidTr="004E3199">
        <w:trPr>
          <w:trHeight w:val="374"/>
          <w:jc w:val="center"/>
        </w:trPr>
        <w:tc>
          <w:tcPr>
            <w:tcW w:w="14011" w:type="dxa"/>
            <w:gridSpan w:val="5"/>
            <w:tcBorders>
              <w:top w:val="single" w:sz="4" w:space="0" w:color="000000"/>
              <w:bottom w:val="single" w:sz="4" w:space="0" w:color="auto"/>
            </w:tcBorders>
            <w:vAlign w:val="center"/>
          </w:tcPr>
          <w:p w14:paraId="56FA3C3A" w14:textId="47DC1B40" w:rsidR="007401D6" w:rsidRPr="00D377F5" w:rsidRDefault="007401D6" w:rsidP="007401D6">
            <w:pPr>
              <w:pStyle w:val="HSAGTableText"/>
              <w:rPr>
                <w:b/>
                <w:highlight w:val="yellow"/>
              </w:rPr>
            </w:pPr>
            <w:r w:rsidRPr="00D377F5">
              <w:rPr>
                <w:b/>
                <w:highlight w:val="yellow"/>
              </w:rPr>
              <w:t>Required Actions:</w:t>
            </w:r>
            <w:r w:rsidRPr="00D377F5">
              <w:rPr>
                <w:highlight w:val="yellow"/>
              </w:rPr>
              <w:t xml:space="preserve"> The PIHP must ensure that it, or its delegates on the PIHP’s behalf, primary-source verifies for all practitioners, an NPDB/HIPDB query, or in lieu of a NPDB/HIPDB query, a minimum five-year history of professional liability claims resulting in a judgment or settlement, disciplinary status with a regulatory board or agency, and/or Medicare/Medicaid sanctions to ensure this requirement is met.</w:t>
            </w:r>
          </w:p>
        </w:tc>
      </w:tr>
      <w:tr w:rsidR="007401D6" w:rsidRPr="00D16F05" w14:paraId="2075D11B" w14:textId="77777777" w:rsidTr="004E3199">
        <w:tblPrEx>
          <w:tblCellMar>
            <w:left w:w="108" w:type="dxa"/>
            <w:right w:w="108" w:type="dxa"/>
          </w:tblCellMar>
        </w:tblPrEx>
        <w:trPr>
          <w:trHeight w:val="374"/>
          <w:jc w:val="center"/>
        </w:trPr>
        <w:tc>
          <w:tcPr>
            <w:tcW w:w="14011" w:type="dxa"/>
            <w:gridSpan w:val="5"/>
            <w:tcBorders>
              <w:top w:val="single" w:sz="4" w:space="0" w:color="auto"/>
              <w:bottom w:val="single" w:sz="4" w:space="0" w:color="000000" w:themeColor="text1"/>
            </w:tcBorders>
            <w:shd w:val="clear" w:color="auto" w:fill="F79548" w:themeFill="accent4"/>
          </w:tcPr>
          <w:p w14:paraId="7315A55D" w14:textId="77777777" w:rsidR="007401D6" w:rsidRPr="00D16F05" w:rsidRDefault="007401D6" w:rsidP="007401D6">
            <w:pPr>
              <w:pStyle w:val="HSAGTableText"/>
              <w:keepNext/>
              <w:contextualSpacing/>
              <w:rPr>
                <w:b/>
              </w:rPr>
            </w:pPr>
            <w:r>
              <w:rPr>
                <w:b/>
              </w:rPr>
              <w:lastRenderedPageBreak/>
              <w:t>PIHP Corrective Action Plan</w:t>
            </w:r>
          </w:p>
        </w:tc>
      </w:tr>
      <w:tr w:rsidR="00DA7694" w:rsidRPr="00984D92" w14:paraId="54F32B91"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62E3B712" w14:textId="542B551B" w:rsidR="00DA7694" w:rsidRPr="00984D92" w:rsidRDefault="00DA7694" w:rsidP="00DA7694">
            <w:pPr>
              <w:pStyle w:val="HSAGTableText"/>
              <w:contextualSpacing/>
              <w:rPr>
                <w:bCs/>
              </w:rPr>
            </w:pPr>
            <w:r>
              <w:rPr>
                <w:b/>
              </w:rPr>
              <w:t>Root Cause Analysis:</w:t>
            </w:r>
            <w:r w:rsidRPr="003F5489">
              <w:rPr>
                <w:bCs/>
              </w:rPr>
              <w:t xml:space="preserve"> </w:t>
            </w:r>
            <w:r w:rsidRPr="00D377F5">
              <w:rPr>
                <w:bCs/>
                <w:highlight w:val="yellow"/>
              </w:rPr>
              <w:t>The NMRE has guided our CMHSP delegates to use the staff list in the MDHHS Credentialing Policy for their own policies and procedures, however, the final item “</w:t>
            </w:r>
            <w:r w:rsidRPr="00D377F5">
              <w:rPr>
                <w:bCs/>
                <w:i/>
                <w:iCs/>
                <w:highlight w:val="yellow"/>
              </w:rPr>
              <w:t>s. Other behavioral healthcare specialists licensed, certified, or registered by the State</w:t>
            </w:r>
            <w:r w:rsidRPr="00D377F5">
              <w:rPr>
                <w:bCs/>
                <w:highlight w:val="yellow"/>
              </w:rPr>
              <w:t>.” has to some degree been left open to interpretation regionally.</w:t>
            </w:r>
          </w:p>
        </w:tc>
      </w:tr>
      <w:tr w:rsidR="00DA7694" w:rsidRPr="00FC2C0F" w14:paraId="6A50BE39"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0FDB4773" w14:textId="20F08F4A" w:rsidR="00DA7694" w:rsidRPr="00FC2C0F" w:rsidRDefault="00DA7694" w:rsidP="00DA7694">
            <w:pPr>
              <w:pStyle w:val="HSAGTableText"/>
              <w:contextualSpacing/>
              <w:rPr>
                <w:bCs/>
              </w:rPr>
            </w:pPr>
            <w:r>
              <w:rPr>
                <w:b/>
              </w:rPr>
              <w:t>PIHP Remediation Plan</w:t>
            </w:r>
            <w:r w:rsidRPr="00B30934">
              <w:rPr>
                <w:b/>
              </w:rPr>
              <w:t>:</w:t>
            </w:r>
            <w:r>
              <w:rPr>
                <w:bCs/>
              </w:rPr>
              <w:t xml:space="preserve"> </w:t>
            </w:r>
            <w:r w:rsidRPr="00D377F5">
              <w:rPr>
                <w:bCs/>
                <w:highlight w:val="yellow"/>
              </w:rPr>
              <w:t xml:space="preserve">The NMRE will seek clarification from MDHHS, in writing, regarding the specific non-licensed staff types in the sample that were reviewed but did not have NPDB, as well as asking MDHHS about any other specific staff types they may see as needing NPDB. The NMRE will disseminate this information to its CMHSPs as official guidance. The NMRE will subsequently review and update its credentialing policy as appropriate based on </w:t>
            </w:r>
            <w:proofErr w:type="gramStart"/>
            <w:r w:rsidRPr="00D377F5">
              <w:rPr>
                <w:bCs/>
                <w:highlight w:val="yellow"/>
              </w:rPr>
              <w:t>all of</w:t>
            </w:r>
            <w:proofErr w:type="gramEnd"/>
            <w:r w:rsidRPr="00D377F5">
              <w:rPr>
                <w:bCs/>
                <w:highlight w:val="yellow"/>
              </w:rPr>
              <w:t xml:space="preserve"> the above and review the policy with CMHSP delegates both remotely for training, and in person while monitoring, to assure delegate understanding of NMRE policy.</w:t>
            </w:r>
          </w:p>
        </w:tc>
      </w:tr>
      <w:tr w:rsidR="00DA7694" w:rsidRPr="00FC2C0F" w14:paraId="78CBB31C"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369E7A6F" w14:textId="522ADB3F" w:rsidR="00DA7694" w:rsidRPr="00DA7694" w:rsidRDefault="00DA7694" w:rsidP="00DA7694">
            <w:pPr>
              <w:pStyle w:val="HSAGTableText"/>
              <w:contextualSpacing/>
              <w:rPr>
                <w:bCs/>
              </w:rPr>
            </w:pPr>
            <w:r w:rsidRPr="00DA7694">
              <w:rPr>
                <w:b/>
              </w:rPr>
              <w:t>Responsible Individual(s):</w:t>
            </w:r>
            <w:r w:rsidRPr="00DA7694">
              <w:rPr>
                <w:bCs/>
              </w:rPr>
              <w:t xml:space="preserve"> </w:t>
            </w:r>
            <w:r w:rsidR="00D03F23">
              <w:rPr>
                <w:bCs/>
              </w:rPr>
              <w:t xml:space="preserve">Chris VanWagoner, </w:t>
            </w:r>
            <w:r w:rsidRPr="00DA7694">
              <w:rPr>
                <w:bCs/>
              </w:rPr>
              <w:t>Contract and Provider Network Manager</w:t>
            </w:r>
          </w:p>
        </w:tc>
      </w:tr>
      <w:tr w:rsidR="00DA7694" w:rsidRPr="00FC2C0F" w14:paraId="47191B65"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auto"/>
            </w:tcBorders>
          </w:tcPr>
          <w:p w14:paraId="39A3419E" w14:textId="22CB919E" w:rsidR="00DA7694" w:rsidRPr="00DA7694" w:rsidRDefault="00DA7694" w:rsidP="00DA7694">
            <w:pPr>
              <w:pStyle w:val="HSAGTableText"/>
              <w:contextualSpacing/>
              <w:rPr>
                <w:bCs/>
              </w:rPr>
            </w:pPr>
            <w:r w:rsidRPr="00DA7694">
              <w:rPr>
                <w:b/>
              </w:rPr>
              <w:t>Timeline:</w:t>
            </w:r>
            <w:r w:rsidRPr="00DA7694">
              <w:rPr>
                <w:bCs/>
              </w:rPr>
              <w:t xml:space="preserve"> </w:t>
            </w:r>
            <w:r w:rsidRPr="00D377F5">
              <w:rPr>
                <w:bCs/>
                <w:highlight w:val="yellow"/>
              </w:rPr>
              <w:t>Commence 10-30-25 to be completed 4-1-2026</w:t>
            </w:r>
          </w:p>
        </w:tc>
      </w:tr>
      <w:tr w:rsidR="007401D6" w14:paraId="65927684" w14:textId="77777777" w:rsidTr="007401D6">
        <w:tblPrEx>
          <w:tblCellMar>
            <w:left w:w="108" w:type="dxa"/>
            <w:right w:w="108" w:type="dxa"/>
          </w:tblCellMar>
        </w:tblPrEx>
        <w:trPr>
          <w:trHeight w:val="374"/>
          <w:jc w:val="center"/>
        </w:trPr>
        <w:tc>
          <w:tcPr>
            <w:tcW w:w="10431" w:type="dxa"/>
            <w:gridSpan w:val="3"/>
            <w:tcBorders>
              <w:top w:val="single" w:sz="4" w:space="0" w:color="auto"/>
              <w:bottom w:val="single" w:sz="18" w:space="0" w:color="00549E" w:themeColor="text2"/>
            </w:tcBorders>
            <w:shd w:val="clear" w:color="auto" w:fill="F2F2F2" w:themeFill="background1" w:themeFillShade="F2"/>
          </w:tcPr>
          <w:p w14:paraId="293CD918" w14:textId="42614710" w:rsidR="007401D6" w:rsidRPr="00FC2C0F" w:rsidRDefault="007401D6" w:rsidP="007401D6">
            <w:pPr>
              <w:pStyle w:val="HSAGTableText"/>
              <w:contextualSpacing/>
              <w:rPr>
                <w:bCs/>
              </w:rPr>
            </w:pPr>
            <w:r>
              <w:rPr>
                <w:b/>
              </w:rPr>
              <w:t>MDHHS/HSAG Response:</w:t>
            </w:r>
            <w:r>
              <w:rPr>
                <w:bCs/>
              </w:rPr>
              <w:t xml:space="preserve"> </w:t>
            </w:r>
            <w:r w:rsidR="00367DE2" w:rsidRPr="00367DE2">
              <w:rPr>
                <w:bCs/>
              </w:rPr>
              <w:t xml:space="preserve">The PIHP’s remediation plan is sufficient to ensure compliance with the requirements for this program area. While no additional information is required to be submitted at this time, the PIHP must proceed with </w:t>
            </w:r>
            <w:proofErr w:type="gramStart"/>
            <w:r w:rsidR="00367DE2" w:rsidRPr="00367DE2">
              <w:rPr>
                <w:bCs/>
              </w:rPr>
              <w:t>timely</w:t>
            </w:r>
            <w:proofErr w:type="gramEnd"/>
            <w:r w:rsidR="00367DE2" w:rsidRPr="00367DE2">
              <w:rPr>
                <w:bCs/>
              </w:rPr>
              <w:t xml:space="preserve"> implementation of its action plans. Please note, an </w:t>
            </w:r>
            <w:r w:rsidR="00367DE2" w:rsidRPr="00367DE2">
              <w:rPr>
                <w:bCs/>
                <w:i/>
                <w:iCs/>
              </w:rPr>
              <w:t>Accepted</w:t>
            </w:r>
            <w:r w:rsidR="00367DE2" w:rsidRPr="00367DE2">
              <w:rPr>
                <w:bCs/>
              </w:rPr>
              <w:t xml:space="preserve"> designation is not a guarantee of future compliance. Implementation of the PIHP’s action plans and demonstration of compliance will be assessed during future compliance review activities.</w:t>
            </w:r>
          </w:p>
        </w:tc>
        <w:tc>
          <w:tcPr>
            <w:tcW w:w="3580" w:type="dxa"/>
            <w:gridSpan w:val="2"/>
            <w:tcBorders>
              <w:top w:val="single" w:sz="4" w:space="0" w:color="auto"/>
              <w:bottom w:val="single" w:sz="18" w:space="0" w:color="00549E" w:themeColor="text2"/>
            </w:tcBorders>
            <w:shd w:val="clear" w:color="auto" w:fill="F2F2F2" w:themeFill="background1" w:themeFillShade="F2"/>
          </w:tcPr>
          <w:p w14:paraId="1E613AAC" w14:textId="1B120323" w:rsidR="007401D6" w:rsidRPr="00C123EE" w:rsidRDefault="00000000" w:rsidP="007401D6">
            <w:pPr>
              <w:pStyle w:val="HSAGTableText"/>
              <w:contextualSpacing/>
              <w:rPr>
                <w:bCs/>
              </w:rPr>
            </w:pPr>
            <w:sdt>
              <w:sdtPr>
                <w:rPr>
                  <w:bCs/>
                </w:rPr>
                <w:id w:val="371426018"/>
                <w14:checkbox>
                  <w14:checked w14:val="1"/>
                  <w14:checkedState w14:val="2612" w14:font="MS Gothic"/>
                  <w14:uncheckedState w14:val="2610" w14:font="MS Gothic"/>
                </w14:checkbox>
              </w:sdtPr>
              <w:sdtContent>
                <w:r w:rsidR="00367DE2">
                  <w:rPr>
                    <w:rFonts w:ascii="MS Gothic" w:eastAsia="MS Gothic" w:hAnsi="MS Gothic" w:hint="eastAsia"/>
                    <w:bCs/>
                  </w:rPr>
                  <w:t>☒</w:t>
                </w:r>
              </w:sdtContent>
            </w:sdt>
            <w:r w:rsidR="007401D6" w:rsidRPr="00C123EE">
              <w:rPr>
                <w:bCs/>
              </w:rPr>
              <w:t xml:space="preserve"> Accepted</w:t>
            </w:r>
          </w:p>
          <w:p w14:paraId="1314A0DE" w14:textId="77777777" w:rsidR="007401D6" w:rsidRPr="00C123EE" w:rsidRDefault="00000000" w:rsidP="007401D6">
            <w:pPr>
              <w:pStyle w:val="HSAGTableText"/>
              <w:contextualSpacing/>
              <w:rPr>
                <w:bCs/>
              </w:rPr>
            </w:pPr>
            <w:sdt>
              <w:sdtPr>
                <w:rPr>
                  <w:bCs/>
                </w:rPr>
                <w:id w:val="1834953339"/>
                <w14:checkbox>
                  <w14:checked w14:val="0"/>
                  <w14:checkedState w14:val="2612" w14:font="MS Gothic"/>
                  <w14:uncheckedState w14:val="2610" w14:font="MS Gothic"/>
                </w14:checkbox>
              </w:sdtPr>
              <w:sdtContent>
                <w:r w:rsidR="007401D6" w:rsidRPr="00C123EE">
                  <w:rPr>
                    <w:rFonts w:ascii="MS Gothic" w:eastAsia="MS Gothic" w:hAnsi="MS Gothic" w:hint="eastAsia"/>
                    <w:bCs/>
                  </w:rPr>
                  <w:t>☐</w:t>
                </w:r>
              </w:sdtContent>
            </w:sdt>
            <w:r w:rsidR="007401D6" w:rsidRPr="00C123EE">
              <w:rPr>
                <w:bCs/>
              </w:rPr>
              <w:t xml:space="preserve"> Accepted </w:t>
            </w:r>
            <w:r w:rsidR="007401D6">
              <w:rPr>
                <w:bCs/>
              </w:rPr>
              <w:t>W</w:t>
            </w:r>
            <w:r w:rsidR="007401D6" w:rsidRPr="00C123EE">
              <w:rPr>
                <w:bCs/>
              </w:rPr>
              <w:t>ith Recommendations</w:t>
            </w:r>
          </w:p>
          <w:p w14:paraId="196C29F6" w14:textId="77777777" w:rsidR="007401D6" w:rsidRDefault="00000000" w:rsidP="007401D6">
            <w:pPr>
              <w:pStyle w:val="HSAGTableText"/>
              <w:contextualSpacing/>
              <w:rPr>
                <w:b/>
              </w:rPr>
            </w:pPr>
            <w:sdt>
              <w:sdtPr>
                <w:rPr>
                  <w:bCs/>
                </w:rPr>
                <w:id w:val="-184683318"/>
                <w14:checkbox>
                  <w14:checked w14:val="0"/>
                  <w14:checkedState w14:val="2612" w14:font="MS Gothic"/>
                  <w14:uncheckedState w14:val="2610" w14:font="MS Gothic"/>
                </w14:checkbox>
              </w:sdtPr>
              <w:sdtContent>
                <w:r w:rsidR="007401D6" w:rsidRPr="00C123EE">
                  <w:rPr>
                    <w:rFonts w:ascii="MS Gothic" w:eastAsia="MS Gothic" w:hAnsi="MS Gothic" w:hint="eastAsia"/>
                    <w:bCs/>
                  </w:rPr>
                  <w:t>☐</w:t>
                </w:r>
              </w:sdtContent>
            </w:sdt>
            <w:r w:rsidR="007401D6" w:rsidRPr="00C123EE">
              <w:rPr>
                <w:bCs/>
              </w:rPr>
              <w:t xml:space="preserve"> Not Accepted</w:t>
            </w:r>
          </w:p>
        </w:tc>
      </w:tr>
      <w:tr w:rsidR="00EC0934" w:rsidRPr="00903F99" w14:paraId="1CF7FE5D" w14:textId="77777777" w:rsidTr="007401D6">
        <w:trPr>
          <w:trHeight w:val="374"/>
          <w:jc w:val="center"/>
        </w:trPr>
        <w:tc>
          <w:tcPr>
            <w:tcW w:w="6474" w:type="dxa"/>
            <w:gridSpan w:val="2"/>
            <w:vMerge w:val="restart"/>
          </w:tcPr>
          <w:p w14:paraId="0A7A9FF4" w14:textId="77777777" w:rsidR="00EC0934" w:rsidRPr="001408D5" w:rsidRDefault="00EC0934" w:rsidP="00EC0934">
            <w:pPr>
              <w:pStyle w:val="ListNoNum"/>
              <w:rPr>
                <w:i/>
                <w:iCs/>
              </w:rPr>
            </w:pPr>
            <w:r w:rsidRPr="001408D5">
              <w:rPr>
                <w:spacing w:val="-4"/>
              </w:rPr>
              <w:t>12.</w:t>
            </w:r>
            <w:r w:rsidRPr="001408D5">
              <w:rPr>
                <w:spacing w:val="-4"/>
              </w:rPr>
              <w:tab/>
            </w:r>
            <w:r w:rsidRPr="001408D5">
              <w:rPr>
                <w:i/>
              </w:rPr>
              <w:t xml:space="preserve">For credentialing and recredentialing, the PIHP conducts a search that reveals information substantially </w:t>
            </w:r>
            <w:proofErr w:type="gramStart"/>
            <w:r w:rsidRPr="001408D5">
              <w:rPr>
                <w:i/>
              </w:rPr>
              <w:t>similar to</w:t>
            </w:r>
            <w:proofErr w:type="gramEnd"/>
            <w:r w:rsidRPr="001408D5">
              <w:rPr>
                <w:i/>
              </w:rPr>
              <w:t xml:space="preserve"> information found on an Internet Criminal History Access Tool (ICHAT) check and a national and State sex offender registry check for each new direct-hire or contractually employed practitioner.</w:t>
            </w:r>
          </w:p>
          <w:p w14:paraId="1D571C06" w14:textId="77777777" w:rsidR="00EC0934" w:rsidRPr="001408D5" w:rsidRDefault="00EC0934" w:rsidP="00EC0934">
            <w:pPr>
              <w:pStyle w:val="ListNoNum2"/>
              <w:ind w:left="692"/>
              <w:rPr>
                <w:i/>
                <w:iCs/>
              </w:rPr>
            </w:pPr>
            <w:r w:rsidRPr="001408D5">
              <w:t xml:space="preserve">a. </w:t>
            </w:r>
            <w:r w:rsidRPr="001408D5">
              <w:tab/>
            </w:r>
            <w:r w:rsidRPr="001408D5">
              <w:rPr>
                <w:i/>
                <w:iCs/>
              </w:rPr>
              <w:t>ICHAT: https://apps.michigan.gov.</w:t>
            </w:r>
          </w:p>
          <w:p w14:paraId="31DAD77D" w14:textId="77777777" w:rsidR="00EC0934" w:rsidRPr="001408D5" w:rsidRDefault="00EC0934" w:rsidP="00EC0934">
            <w:pPr>
              <w:pStyle w:val="ListNoNum2"/>
              <w:ind w:left="692"/>
              <w:rPr>
                <w:i/>
                <w:iCs/>
              </w:rPr>
            </w:pPr>
            <w:r w:rsidRPr="001408D5">
              <w:t xml:space="preserve">b. </w:t>
            </w:r>
            <w:r w:rsidRPr="001408D5">
              <w:tab/>
            </w:r>
            <w:r w:rsidRPr="001408D5">
              <w:rPr>
                <w:i/>
                <w:iCs/>
              </w:rPr>
              <w:t>Michigan Public Sex Offender Registry: https://mspsor.com.</w:t>
            </w:r>
          </w:p>
          <w:p w14:paraId="3389B0ED" w14:textId="77777777" w:rsidR="00EC0934" w:rsidRPr="001408D5" w:rsidRDefault="00EC0934" w:rsidP="00EC0934">
            <w:pPr>
              <w:pStyle w:val="ListNoNum2"/>
              <w:ind w:left="692"/>
            </w:pPr>
            <w:r w:rsidRPr="001408D5">
              <w:t xml:space="preserve">c. </w:t>
            </w:r>
            <w:r w:rsidRPr="001408D5">
              <w:tab/>
            </w:r>
            <w:r w:rsidRPr="001408D5">
              <w:rPr>
                <w:i/>
                <w:iCs/>
              </w:rPr>
              <w:t>National Sex Offender Registry: http://www.nsopw.gov</w:t>
            </w:r>
            <w:r w:rsidRPr="001408D5">
              <w:t>.</w:t>
            </w:r>
          </w:p>
          <w:p w14:paraId="445537C2" w14:textId="77777777" w:rsidR="00EC0934" w:rsidRPr="001408D5" w:rsidRDefault="00EC0934" w:rsidP="00EC0934">
            <w:pPr>
              <w:pStyle w:val="HSAGNumbers"/>
              <w:numPr>
                <w:ilvl w:val="0"/>
                <w:numId w:val="0"/>
              </w:numPr>
              <w:contextualSpacing/>
              <w:jc w:val="right"/>
              <w:rPr>
                <w:iCs/>
                <w:sz w:val="18"/>
                <w:szCs w:val="16"/>
              </w:rPr>
            </w:pPr>
          </w:p>
          <w:p w14:paraId="1448E825" w14:textId="77777777" w:rsidR="00EC0934" w:rsidRPr="001408D5" w:rsidRDefault="00EC0934" w:rsidP="00EC0934">
            <w:pPr>
              <w:pStyle w:val="HSAGTableContracttext"/>
            </w:pPr>
            <w:r w:rsidRPr="001408D5">
              <w:t>42 CFR §438.214(e)</w:t>
            </w:r>
          </w:p>
          <w:p w14:paraId="3ED98FFA" w14:textId="4BFE7EAD" w:rsidR="00EC0934" w:rsidRPr="00903F99" w:rsidRDefault="00EC0934" w:rsidP="00EC0934">
            <w:pPr>
              <w:pStyle w:val="HSAGTableContracttext"/>
              <w:keepNext/>
              <w:spacing w:before="0" w:after="0"/>
              <w:ind w:left="1440"/>
              <w:contextualSpacing/>
              <w:rPr>
                <w:i/>
                <w:szCs w:val="18"/>
              </w:rPr>
            </w:pPr>
            <w:r w:rsidRPr="001408D5">
              <w:rPr>
                <w:szCs w:val="16"/>
              </w:rPr>
              <w:t>Credentialing and Re-Credentialing Processes—C</w:t>
            </w:r>
          </w:p>
        </w:tc>
        <w:tc>
          <w:tcPr>
            <w:tcW w:w="6116" w:type="dxa"/>
            <w:gridSpan w:val="2"/>
            <w:shd w:val="clear" w:color="auto" w:fill="FFFFFF" w:themeFill="background1"/>
          </w:tcPr>
          <w:p w14:paraId="7D4E8544" w14:textId="77777777" w:rsidR="00EC0934" w:rsidRPr="001408D5" w:rsidRDefault="00EC0934" w:rsidP="00EC0934">
            <w:pPr>
              <w:pStyle w:val="HSAGTableText"/>
              <w:contextualSpacing/>
              <w:rPr>
                <w:b/>
                <w:bCs/>
              </w:rPr>
            </w:pPr>
            <w:r w:rsidRPr="001408D5">
              <w:rPr>
                <w:b/>
                <w:bCs/>
              </w:rPr>
              <w:t>HSAG Required Evidence:</w:t>
            </w:r>
          </w:p>
          <w:p w14:paraId="6F19B490" w14:textId="77777777" w:rsidR="006808DE" w:rsidRDefault="00EC0934" w:rsidP="00595A8D">
            <w:pPr>
              <w:pStyle w:val="HSAGTableText"/>
              <w:numPr>
                <w:ilvl w:val="0"/>
                <w:numId w:val="19"/>
              </w:numPr>
              <w:contextualSpacing/>
            </w:pPr>
            <w:r w:rsidRPr="001408D5">
              <w:t>Policies and procedures</w:t>
            </w:r>
          </w:p>
          <w:p w14:paraId="3B75447C" w14:textId="0DD2E7F7" w:rsidR="00EC0934" w:rsidRPr="00903F99" w:rsidRDefault="00EC0934" w:rsidP="00595A8D">
            <w:pPr>
              <w:pStyle w:val="HSAGTableText"/>
              <w:numPr>
                <w:ilvl w:val="0"/>
                <w:numId w:val="19"/>
              </w:numPr>
              <w:contextualSpacing/>
            </w:pPr>
            <w:r w:rsidRPr="001408D5">
              <w:t>HSAG will also use the results of the Practitioner Credentialing and Recredentialing File Reviews</w:t>
            </w:r>
          </w:p>
        </w:tc>
        <w:tc>
          <w:tcPr>
            <w:tcW w:w="1421" w:type="dxa"/>
            <w:vMerge w:val="restart"/>
            <w:shd w:val="clear" w:color="auto" w:fill="FFFFFF" w:themeFill="background1"/>
          </w:tcPr>
          <w:p w14:paraId="152F56D6" w14:textId="77777777" w:rsidR="00EC0934" w:rsidRPr="001408D5" w:rsidRDefault="00000000" w:rsidP="00EC0934">
            <w:pPr>
              <w:spacing w:before="60" w:after="0"/>
              <w:contextualSpacing/>
              <w:rPr>
                <w:sz w:val="22"/>
              </w:rPr>
            </w:pPr>
            <w:sdt>
              <w:sdtPr>
                <w:rPr>
                  <w:sz w:val="22"/>
                </w:rPr>
                <w:id w:val="-1560704374"/>
                <w14:checkbox>
                  <w14:checked w14:val="0"/>
                  <w14:checkedState w14:val="2612" w14:font="MS Gothic"/>
                  <w14:uncheckedState w14:val="2610" w14:font="MS Gothic"/>
                </w14:checkbox>
              </w:sdtPr>
              <w:sdtContent>
                <w:r w:rsidR="00EC0934" w:rsidRPr="001408D5">
                  <w:rPr>
                    <w:rFonts w:ascii="MS Gothic" w:eastAsia="MS Gothic" w:hAnsi="MS Gothic" w:hint="eastAsia"/>
                    <w:sz w:val="22"/>
                  </w:rPr>
                  <w:t>☐</w:t>
                </w:r>
              </w:sdtContent>
            </w:sdt>
            <w:r w:rsidR="00EC0934" w:rsidRPr="001408D5">
              <w:rPr>
                <w:sz w:val="22"/>
              </w:rPr>
              <w:t xml:space="preserve"> Met</w:t>
            </w:r>
          </w:p>
          <w:p w14:paraId="54231AE5" w14:textId="77777777" w:rsidR="00EC0934" w:rsidRPr="001408D5" w:rsidRDefault="00000000" w:rsidP="00EC0934">
            <w:pPr>
              <w:spacing w:before="60" w:after="0"/>
              <w:contextualSpacing/>
              <w:rPr>
                <w:sz w:val="22"/>
              </w:rPr>
            </w:pPr>
            <w:sdt>
              <w:sdtPr>
                <w:rPr>
                  <w:sz w:val="22"/>
                </w:rPr>
                <w:id w:val="986059843"/>
                <w14:checkbox>
                  <w14:checked w14:val="1"/>
                  <w14:checkedState w14:val="2612" w14:font="MS Gothic"/>
                  <w14:uncheckedState w14:val="2610" w14:font="MS Gothic"/>
                </w14:checkbox>
              </w:sdtPr>
              <w:sdtContent>
                <w:r w:rsidR="00EC0934" w:rsidRPr="001408D5">
                  <w:rPr>
                    <w:rFonts w:ascii="MS Gothic" w:eastAsia="MS Gothic" w:hAnsi="MS Gothic" w:hint="eastAsia"/>
                    <w:sz w:val="22"/>
                  </w:rPr>
                  <w:t>☒</w:t>
                </w:r>
              </w:sdtContent>
            </w:sdt>
            <w:r w:rsidR="00EC0934" w:rsidRPr="001408D5">
              <w:rPr>
                <w:sz w:val="22"/>
              </w:rPr>
              <w:t xml:space="preserve"> Not Met</w:t>
            </w:r>
          </w:p>
          <w:p w14:paraId="61CBA426" w14:textId="77777777" w:rsidR="00EC0934" w:rsidRPr="001408D5" w:rsidRDefault="00000000" w:rsidP="00EC0934">
            <w:pPr>
              <w:spacing w:before="60" w:after="0"/>
              <w:contextualSpacing/>
              <w:rPr>
                <w:sz w:val="22"/>
              </w:rPr>
            </w:pPr>
            <w:sdt>
              <w:sdtPr>
                <w:rPr>
                  <w:sz w:val="22"/>
                </w:rPr>
                <w:id w:val="-34503653"/>
                <w14:checkbox>
                  <w14:checked w14:val="0"/>
                  <w14:checkedState w14:val="2612" w14:font="MS Gothic"/>
                  <w14:uncheckedState w14:val="2610" w14:font="MS Gothic"/>
                </w14:checkbox>
              </w:sdtPr>
              <w:sdtContent>
                <w:r w:rsidR="00EC0934" w:rsidRPr="001408D5">
                  <w:rPr>
                    <w:rFonts w:ascii="MS Gothic" w:eastAsia="MS Gothic" w:hAnsi="MS Gothic" w:hint="eastAsia"/>
                    <w:sz w:val="22"/>
                  </w:rPr>
                  <w:t>☐</w:t>
                </w:r>
              </w:sdtContent>
            </w:sdt>
            <w:r w:rsidR="00EC0934" w:rsidRPr="001408D5">
              <w:rPr>
                <w:sz w:val="22"/>
              </w:rPr>
              <w:t xml:space="preserve"> NA</w:t>
            </w:r>
          </w:p>
          <w:p w14:paraId="1CD11AA5" w14:textId="77777777" w:rsidR="00EC0934" w:rsidRPr="00903F99" w:rsidRDefault="00EC0934" w:rsidP="00EC0934">
            <w:pPr>
              <w:spacing w:before="0" w:after="0"/>
              <w:contextualSpacing/>
              <w:rPr>
                <w:sz w:val="22"/>
              </w:rPr>
            </w:pPr>
          </w:p>
        </w:tc>
      </w:tr>
      <w:tr w:rsidR="00EC0934" w:rsidRPr="00903F99" w14:paraId="5DF6F530" w14:textId="77777777" w:rsidTr="007401D6">
        <w:trPr>
          <w:trHeight w:val="374"/>
          <w:jc w:val="center"/>
        </w:trPr>
        <w:tc>
          <w:tcPr>
            <w:tcW w:w="6474" w:type="dxa"/>
            <w:gridSpan w:val="2"/>
            <w:vMerge/>
          </w:tcPr>
          <w:p w14:paraId="70E60821" w14:textId="77777777" w:rsidR="00EC0934" w:rsidRPr="00903F99" w:rsidRDefault="00EC0934" w:rsidP="00595A8D">
            <w:pPr>
              <w:pStyle w:val="HSAGNumbers"/>
              <w:numPr>
                <w:ilvl w:val="0"/>
                <w:numId w:val="16"/>
              </w:numPr>
              <w:spacing w:before="0" w:after="0"/>
              <w:contextualSpacing/>
            </w:pPr>
          </w:p>
        </w:tc>
        <w:tc>
          <w:tcPr>
            <w:tcW w:w="6116" w:type="dxa"/>
            <w:gridSpan w:val="2"/>
            <w:shd w:val="clear" w:color="auto" w:fill="FFFFFF" w:themeFill="background1"/>
          </w:tcPr>
          <w:p w14:paraId="5C65214A" w14:textId="77777777" w:rsidR="00EC0934" w:rsidRPr="001408D5" w:rsidRDefault="00EC0934" w:rsidP="00EC0934">
            <w:pPr>
              <w:pStyle w:val="HSAGTableText"/>
              <w:contextualSpacing/>
              <w:rPr>
                <w:b/>
                <w:bCs/>
              </w:rPr>
            </w:pPr>
            <w:r w:rsidRPr="001408D5">
              <w:rPr>
                <w:b/>
                <w:bCs/>
              </w:rPr>
              <w:t>Evidence as Submitted by the PIHP:</w:t>
            </w:r>
          </w:p>
          <w:p w14:paraId="2EBB0BC5" w14:textId="77777777" w:rsidR="00EC0934" w:rsidRPr="001408D5" w:rsidRDefault="00EC0934" w:rsidP="00595A8D">
            <w:pPr>
              <w:pStyle w:val="HSAGTableText"/>
              <w:numPr>
                <w:ilvl w:val="0"/>
                <w:numId w:val="19"/>
              </w:numPr>
              <w:contextualSpacing/>
            </w:pPr>
            <w:r w:rsidRPr="001408D5">
              <w:t>Credentialing Policy and Procedure: Page 4 of PDF, B.2, Page 6, E.3</w:t>
            </w:r>
          </w:p>
          <w:p w14:paraId="77803A33" w14:textId="77777777" w:rsidR="00EC0934" w:rsidRDefault="00EC0934" w:rsidP="00595A8D">
            <w:pPr>
              <w:pStyle w:val="HSAGTableText"/>
              <w:numPr>
                <w:ilvl w:val="0"/>
                <w:numId w:val="19"/>
              </w:numPr>
              <w:contextualSpacing/>
            </w:pPr>
            <w:r w:rsidRPr="001408D5">
              <w:t xml:space="preserve">2024_CMHSP_Staff_Cred </w:t>
            </w:r>
            <w:proofErr w:type="spellStart"/>
            <w:r w:rsidRPr="001408D5">
              <w:t>ReCred</w:t>
            </w:r>
            <w:proofErr w:type="spellEnd"/>
            <w:r w:rsidRPr="001408D5">
              <w:t xml:space="preserve"> Monitoring Tool: Page 2 at top, page 4 near top</w:t>
            </w:r>
          </w:p>
          <w:p w14:paraId="43D2CBBB" w14:textId="2123DA73" w:rsidR="00EC0934" w:rsidRPr="00903F99" w:rsidRDefault="00EC0934" w:rsidP="00595A8D">
            <w:pPr>
              <w:pStyle w:val="HSAGTableText"/>
              <w:numPr>
                <w:ilvl w:val="0"/>
                <w:numId w:val="19"/>
              </w:numPr>
              <w:contextualSpacing/>
            </w:pPr>
            <w:r w:rsidRPr="001408D5">
              <w:t>2024_CMHSP_Delegated_Managed_Care_</w:t>
            </w:r>
            <w:proofErr w:type="gramStart"/>
            <w:r w:rsidRPr="001408D5">
              <w:t>Tool:Row</w:t>
            </w:r>
            <w:proofErr w:type="gramEnd"/>
            <w:r w:rsidRPr="001408D5">
              <w:t xml:space="preserve"> 340</w:t>
            </w:r>
          </w:p>
        </w:tc>
        <w:tc>
          <w:tcPr>
            <w:tcW w:w="1421" w:type="dxa"/>
            <w:vMerge/>
            <w:shd w:val="clear" w:color="auto" w:fill="FFFFFF" w:themeFill="background1"/>
          </w:tcPr>
          <w:p w14:paraId="08DE9496" w14:textId="77777777" w:rsidR="00EC0934" w:rsidRPr="00903F99" w:rsidRDefault="00EC0934" w:rsidP="00EC0934">
            <w:pPr>
              <w:spacing w:before="0" w:after="0"/>
              <w:contextualSpacing/>
              <w:rPr>
                <w:sz w:val="22"/>
              </w:rPr>
            </w:pPr>
          </w:p>
        </w:tc>
      </w:tr>
      <w:tr w:rsidR="00EC0934" w:rsidRPr="00903F99" w14:paraId="533869E4" w14:textId="77777777" w:rsidTr="004E3199">
        <w:trPr>
          <w:trHeight w:val="374"/>
          <w:jc w:val="center"/>
        </w:trPr>
        <w:tc>
          <w:tcPr>
            <w:tcW w:w="14011" w:type="dxa"/>
            <w:gridSpan w:val="5"/>
            <w:vAlign w:val="center"/>
          </w:tcPr>
          <w:p w14:paraId="66292334" w14:textId="0F910987" w:rsidR="00EC0934" w:rsidRPr="00903F99" w:rsidRDefault="00EC0934" w:rsidP="00EC0934">
            <w:pPr>
              <w:pStyle w:val="HSAGTableText"/>
              <w:spacing w:before="0" w:after="0"/>
            </w:pPr>
            <w:r w:rsidRPr="001408D5">
              <w:rPr>
                <w:b/>
              </w:rPr>
              <w:lastRenderedPageBreak/>
              <w:t>PIHP Description of Process:</w:t>
            </w:r>
            <w:r w:rsidRPr="001408D5">
              <w:t xml:space="preserve"> The NMRE Credentialing and Recredentialing Policy requires criminal search and sex offender verification. We monitor this at the CMH level to ensure these standards are reflected in their policies and we also verify that these are searched in case samples during monitoring. </w:t>
            </w:r>
          </w:p>
        </w:tc>
      </w:tr>
      <w:tr w:rsidR="00EC0934" w:rsidRPr="0026679F" w14:paraId="4A4ECF08" w14:textId="77777777" w:rsidTr="004E3199">
        <w:trPr>
          <w:trHeight w:val="374"/>
          <w:jc w:val="center"/>
        </w:trPr>
        <w:tc>
          <w:tcPr>
            <w:tcW w:w="14011" w:type="dxa"/>
            <w:gridSpan w:val="5"/>
            <w:tcBorders>
              <w:bottom w:val="single" w:sz="4" w:space="0" w:color="000000"/>
            </w:tcBorders>
            <w:vAlign w:val="center"/>
          </w:tcPr>
          <w:p w14:paraId="36432E2A" w14:textId="4A272CB3" w:rsidR="00EC0934" w:rsidRPr="0026679F" w:rsidRDefault="00EC0934" w:rsidP="00EC0934">
            <w:pPr>
              <w:pStyle w:val="HSAGTableText"/>
              <w:spacing w:before="0"/>
            </w:pPr>
            <w:r w:rsidRPr="001408D5">
              <w:rPr>
                <w:b/>
              </w:rPr>
              <w:t>HSAG Findings:</w:t>
            </w:r>
            <w:r w:rsidRPr="001408D5">
              <w:t xml:space="preserve"> </w:t>
            </w:r>
            <w:r w:rsidRPr="00D377F5">
              <w:rPr>
                <w:highlight w:val="yellow"/>
              </w:rPr>
              <w:t>One case file was missing the National Sex Offender Registry search results, and a second case file was missing the Michigan Public Sex Offender Registry (MPSOR) search results.</w:t>
            </w:r>
            <w:r w:rsidRPr="001408D5">
              <w:t xml:space="preserve"> </w:t>
            </w:r>
          </w:p>
        </w:tc>
      </w:tr>
      <w:tr w:rsidR="00EC0934" w:rsidRPr="0026679F" w14:paraId="7FDE701A" w14:textId="77777777" w:rsidTr="004E3199">
        <w:trPr>
          <w:trHeight w:val="374"/>
          <w:jc w:val="center"/>
        </w:trPr>
        <w:tc>
          <w:tcPr>
            <w:tcW w:w="14011" w:type="dxa"/>
            <w:gridSpan w:val="5"/>
            <w:tcBorders>
              <w:top w:val="single" w:sz="4" w:space="0" w:color="000000"/>
              <w:bottom w:val="single" w:sz="4" w:space="0" w:color="auto"/>
            </w:tcBorders>
            <w:vAlign w:val="center"/>
          </w:tcPr>
          <w:p w14:paraId="4C695493" w14:textId="5BEAB2C1" w:rsidR="00EC0934" w:rsidRPr="0026679F" w:rsidRDefault="00EC0934" w:rsidP="00EC0934">
            <w:pPr>
              <w:pStyle w:val="HSAGTableText"/>
              <w:rPr>
                <w:b/>
              </w:rPr>
            </w:pPr>
            <w:r w:rsidRPr="001408D5">
              <w:rPr>
                <w:b/>
              </w:rPr>
              <w:t>Required Actions:</w:t>
            </w:r>
            <w:r w:rsidRPr="001408D5">
              <w:t xml:space="preserve"> </w:t>
            </w:r>
            <w:r w:rsidRPr="00D377F5">
              <w:rPr>
                <w:highlight w:val="yellow"/>
              </w:rPr>
              <w:t>For credentialing and recredentialing, the PIHP must ensure it conducts a search on the national and State sex offender registries for each new directly hired or contractually employed practitioner.</w:t>
            </w:r>
          </w:p>
        </w:tc>
      </w:tr>
      <w:tr w:rsidR="00EC0934" w:rsidRPr="00D16F05" w14:paraId="2154CAC7" w14:textId="77777777" w:rsidTr="004E3199">
        <w:tblPrEx>
          <w:tblCellMar>
            <w:left w:w="108" w:type="dxa"/>
            <w:right w:w="108" w:type="dxa"/>
          </w:tblCellMar>
        </w:tblPrEx>
        <w:trPr>
          <w:trHeight w:val="374"/>
          <w:jc w:val="center"/>
        </w:trPr>
        <w:tc>
          <w:tcPr>
            <w:tcW w:w="14011" w:type="dxa"/>
            <w:gridSpan w:val="5"/>
            <w:tcBorders>
              <w:top w:val="single" w:sz="4" w:space="0" w:color="auto"/>
              <w:bottom w:val="single" w:sz="4" w:space="0" w:color="000000" w:themeColor="text1"/>
            </w:tcBorders>
            <w:shd w:val="clear" w:color="auto" w:fill="F79548" w:themeFill="accent4"/>
          </w:tcPr>
          <w:p w14:paraId="137F9A72" w14:textId="77777777" w:rsidR="00EC0934" w:rsidRPr="00D16F05" w:rsidRDefault="00EC0934" w:rsidP="00EC0934">
            <w:pPr>
              <w:pStyle w:val="HSAGTableText"/>
              <w:keepNext/>
              <w:contextualSpacing/>
              <w:rPr>
                <w:b/>
              </w:rPr>
            </w:pPr>
            <w:r>
              <w:rPr>
                <w:b/>
              </w:rPr>
              <w:t>PIHP Corrective Action Plan</w:t>
            </w:r>
          </w:p>
        </w:tc>
      </w:tr>
      <w:tr w:rsidR="00EC0934" w:rsidRPr="00984D92" w14:paraId="45C14EB6"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4CF3F315" w14:textId="4700D809" w:rsidR="00EC0934" w:rsidRPr="00984D92" w:rsidRDefault="00EC0934" w:rsidP="00EC0934">
            <w:pPr>
              <w:pStyle w:val="HSAGTableText"/>
              <w:contextualSpacing/>
              <w:rPr>
                <w:bCs/>
              </w:rPr>
            </w:pPr>
            <w:r>
              <w:rPr>
                <w:b/>
              </w:rPr>
              <w:t>Root Cause Analysis:</w:t>
            </w:r>
            <w:r w:rsidRPr="003F5489">
              <w:rPr>
                <w:bCs/>
              </w:rPr>
              <w:t xml:space="preserve"> </w:t>
            </w:r>
            <w:r w:rsidR="00DA7694" w:rsidRPr="00D377F5">
              <w:rPr>
                <w:bCs/>
                <w:highlight w:val="yellow"/>
              </w:rPr>
              <w:t>In the case of the missing Michigan registry check, the CMHSP was under the impression that the National Registry pulls from the State Registry and the National check would be sufficient for compliance. This had not been seen in PIHP monitoring previously despite our sample reviews (there were samples they had checked Michigan sex offender checks for). The missing national verification was a one-off occurrence where the CMHSP had not maintained the evidence properly.</w:t>
            </w:r>
          </w:p>
        </w:tc>
      </w:tr>
      <w:tr w:rsidR="00EC0934" w:rsidRPr="00FC2C0F" w14:paraId="1964F911"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23F56D0B" w14:textId="19D72A31" w:rsidR="00EC0934" w:rsidRPr="00FC2C0F" w:rsidRDefault="00EC0934" w:rsidP="00EC0934">
            <w:pPr>
              <w:pStyle w:val="HSAGTableText"/>
              <w:contextualSpacing/>
              <w:rPr>
                <w:bCs/>
              </w:rPr>
            </w:pPr>
            <w:r>
              <w:rPr>
                <w:b/>
              </w:rPr>
              <w:t>PIHP Remediation Plan</w:t>
            </w:r>
            <w:r w:rsidRPr="00B30934">
              <w:rPr>
                <w:b/>
              </w:rPr>
              <w:t>:</w:t>
            </w:r>
            <w:r>
              <w:rPr>
                <w:bCs/>
              </w:rPr>
              <w:t xml:space="preserve"> </w:t>
            </w:r>
            <w:r w:rsidR="00DA7694" w:rsidRPr="00D377F5">
              <w:rPr>
                <w:bCs/>
                <w:highlight w:val="yellow"/>
              </w:rPr>
              <w:t>The NMRE has already sought clarification from the MDHHS that the National check and Michigan checks must be pulled independently, despite any information overlap. For the CAP, the NMRE will disseminate this information to its CMHSP delegates and ensure monitoring tools reflect both. NMRE will also conduct a thorough review of its CMHSPs processes for checking sex offender registries and storage to ensure evidence is present and made available for auditing purposes.</w:t>
            </w:r>
          </w:p>
        </w:tc>
      </w:tr>
      <w:tr w:rsidR="00DA7694" w:rsidRPr="00FC2C0F" w14:paraId="7A95A941"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51B3D23F" w14:textId="08511E65" w:rsidR="00DA7694" w:rsidRPr="00FC2C0F" w:rsidRDefault="00DA7694" w:rsidP="00DA7694">
            <w:pPr>
              <w:pStyle w:val="HSAGTableText"/>
              <w:contextualSpacing/>
              <w:rPr>
                <w:bCs/>
              </w:rPr>
            </w:pPr>
            <w:r w:rsidRPr="00DA7694">
              <w:rPr>
                <w:b/>
              </w:rPr>
              <w:t>Responsible Individual(s):</w:t>
            </w:r>
            <w:r w:rsidRPr="00DA7694">
              <w:rPr>
                <w:bCs/>
              </w:rPr>
              <w:t xml:space="preserve"> </w:t>
            </w:r>
            <w:r w:rsidR="00D03F23">
              <w:rPr>
                <w:bCs/>
              </w:rPr>
              <w:t xml:space="preserve">Chris VanWagoner, </w:t>
            </w:r>
            <w:r w:rsidRPr="00DA7694">
              <w:rPr>
                <w:bCs/>
              </w:rPr>
              <w:t>Contract and Provider Network Manager</w:t>
            </w:r>
          </w:p>
        </w:tc>
      </w:tr>
      <w:tr w:rsidR="00DA7694" w:rsidRPr="00FC2C0F" w14:paraId="2436FAF5"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auto"/>
            </w:tcBorders>
          </w:tcPr>
          <w:p w14:paraId="5A8B11CE" w14:textId="32C144E1" w:rsidR="00DA7694" w:rsidRPr="00FC2C0F" w:rsidRDefault="00DA7694" w:rsidP="00DA7694">
            <w:pPr>
              <w:pStyle w:val="HSAGTableText"/>
              <w:contextualSpacing/>
              <w:rPr>
                <w:bCs/>
              </w:rPr>
            </w:pPr>
            <w:r w:rsidRPr="00B30934">
              <w:rPr>
                <w:b/>
              </w:rPr>
              <w:t>Timeline:</w:t>
            </w:r>
            <w:r>
              <w:rPr>
                <w:bCs/>
              </w:rPr>
              <w:t xml:space="preserve"> </w:t>
            </w:r>
            <w:r w:rsidRPr="00DA7694">
              <w:rPr>
                <w:bCs/>
              </w:rPr>
              <w:t>Commence 10-30-25 to be completed 4-1-2026</w:t>
            </w:r>
          </w:p>
        </w:tc>
      </w:tr>
      <w:tr w:rsidR="00EC0934" w14:paraId="7D28457B" w14:textId="77777777" w:rsidTr="007401D6">
        <w:tblPrEx>
          <w:tblCellMar>
            <w:left w:w="108" w:type="dxa"/>
            <w:right w:w="108" w:type="dxa"/>
          </w:tblCellMar>
        </w:tblPrEx>
        <w:trPr>
          <w:trHeight w:val="374"/>
          <w:jc w:val="center"/>
        </w:trPr>
        <w:tc>
          <w:tcPr>
            <w:tcW w:w="10431" w:type="dxa"/>
            <w:gridSpan w:val="3"/>
            <w:tcBorders>
              <w:top w:val="single" w:sz="4" w:space="0" w:color="auto"/>
              <w:bottom w:val="single" w:sz="18" w:space="0" w:color="00549E" w:themeColor="text2"/>
            </w:tcBorders>
            <w:shd w:val="clear" w:color="auto" w:fill="F2F2F2" w:themeFill="background1" w:themeFillShade="F2"/>
          </w:tcPr>
          <w:p w14:paraId="6C464ACA" w14:textId="4F34890E" w:rsidR="00EC0934" w:rsidRPr="00FC2C0F" w:rsidRDefault="00EC0934" w:rsidP="00EC0934">
            <w:pPr>
              <w:pStyle w:val="HSAGTableText"/>
              <w:contextualSpacing/>
              <w:rPr>
                <w:bCs/>
              </w:rPr>
            </w:pPr>
            <w:r>
              <w:rPr>
                <w:b/>
              </w:rPr>
              <w:t>MDHHS/HSAG Response:</w:t>
            </w:r>
            <w:r>
              <w:rPr>
                <w:bCs/>
              </w:rPr>
              <w:t xml:space="preserve"> </w:t>
            </w:r>
            <w:r w:rsidR="00367DE2" w:rsidRPr="00367DE2">
              <w:rPr>
                <w:bCs/>
              </w:rPr>
              <w:t xml:space="preserve">The PIHP’s remediation plan is sufficient to ensure compliance with the requirements for this program area. While no additional information is required to be submitted at this time, the PIHP must proceed with </w:t>
            </w:r>
            <w:proofErr w:type="gramStart"/>
            <w:r w:rsidR="00367DE2" w:rsidRPr="00367DE2">
              <w:rPr>
                <w:bCs/>
              </w:rPr>
              <w:t>timely</w:t>
            </w:r>
            <w:proofErr w:type="gramEnd"/>
            <w:r w:rsidR="00367DE2" w:rsidRPr="00367DE2">
              <w:rPr>
                <w:bCs/>
              </w:rPr>
              <w:t xml:space="preserve"> implementation of its action plans. Please note, an </w:t>
            </w:r>
            <w:r w:rsidR="00367DE2" w:rsidRPr="00367DE2">
              <w:rPr>
                <w:bCs/>
                <w:i/>
                <w:iCs/>
              </w:rPr>
              <w:t>Accepted</w:t>
            </w:r>
            <w:r w:rsidR="00367DE2" w:rsidRPr="00367DE2">
              <w:rPr>
                <w:bCs/>
              </w:rPr>
              <w:t xml:space="preserve"> designation is not a guarantee of future compliance. Implementation of the PIHP’s action plans and demonstration of compliance will be assessed during future compliance review activities.</w:t>
            </w:r>
          </w:p>
        </w:tc>
        <w:tc>
          <w:tcPr>
            <w:tcW w:w="3580" w:type="dxa"/>
            <w:gridSpan w:val="2"/>
            <w:tcBorders>
              <w:top w:val="single" w:sz="4" w:space="0" w:color="auto"/>
              <w:bottom w:val="single" w:sz="18" w:space="0" w:color="00549E" w:themeColor="text2"/>
            </w:tcBorders>
            <w:shd w:val="clear" w:color="auto" w:fill="F2F2F2" w:themeFill="background1" w:themeFillShade="F2"/>
          </w:tcPr>
          <w:p w14:paraId="5FB013A7" w14:textId="56C3DE38" w:rsidR="00EC0934" w:rsidRPr="00C123EE" w:rsidRDefault="00000000" w:rsidP="00EC0934">
            <w:pPr>
              <w:pStyle w:val="HSAGTableText"/>
              <w:contextualSpacing/>
              <w:rPr>
                <w:bCs/>
              </w:rPr>
            </w:pPr>
            <w:sdt>
              <w:sdtPr>
                <w:rPr>
                  <w:bCs/>
                </w:rPr>
                <w:id w:val="1211773261"/>
                <w14:checkbox>
                  <w14:checked w14:val="1"/>
                  <w14:checkedState w14:val="2612" w14:font="MS Gothic"/>
                  <w14:uncheckedState w14:val="2610" w14:font="MS Gothic"/>
                </w14:checkbox>
              </w:sdtPr>
              <w:sdtContent>
                <w:r w:rsidR="00367DE2">
                  <w:rPr>
                    <w:rFonts w:ascii="MS Gothic" w:eastAsia="MS Gothic" w:hAnsi="MS Gothic" w:hint="eastAsia"/>
                    <w:bCs/>
                  </w:rPr>
                  <w:t>☒</w:t>
                </w:r>
              </w:sdtContent>
            </w:sdt>
            <w:r w:rsidR="00EC0934" w:rsidRPr="00C123EE">
              <w:rPr>
                <w:bCs/>
              </w:rPr>
              <w:t xml:space="preserve"> Accepted</w:t>
            </w:r>
          </w:p>
          <w:p w14:paraId="00EED9A5" w14:textId="77777777" w:rsidR="00EC0934" w:rsidRPr="00C123EE" w:rsidRDefault="00000000" w:rsidP="00EC0934">
            <w:pPr>
              <w:pStyle w:val="HSAGTableText"/>
              <w:contextualSpacing/>
              <w:rPr>
                <w:bCs/>
              </w:rPr>
            </w:pPr>
            <w:sdt>
              <w:sdtPr>
                <w:rPr>
                  <w:bCs/>
                </w:rPr>
                <w:id w:val="-1567953471"/>
                <w14:checkbox>
                  <w14:checked w14:val="0"/>
                  <w14:checkedState w14:val="2612" w14:font="MS Gothic"/>
                  <w14:uncheckedState w14:val="2610" w14:font="MS Gothic"/>
                </w14:checkbox>
              </w:sdtPr>
              <w:sdtContent>
                <w:r w:rsidR="00EC0934" w:rsidRPr="00C123EE">
                  <w:rPr>
                    <w:rFonts w:ascii="MS Gothic" w:eastAsia="MS Gothic" w:hAnsi="MS Gothic" w:hint="eastAsia"/>
                    <w:bCs/>
                  </w:rPr>
                  <w:t>☐</w:t>
                </w:r>
              </w:sdtContent>
            </w:sdt>
            <w:r w:rsidR="00EC0934" w:rsidRPr="00C123EE">
              <w:rPr>
                <w:bCs/>
              </w:rPr>
              <w:t xml:space="preserve"> Accepted </w:t>
            </w:r>
            <w:r w:rsidR="00EC0934">
              <w:rPr>
                <w:bCs/>
              </w:rPr>
              <w:t>W</w:t>
            </w:r>
            <w:r w:rsidR="00EC0934" w:rsidRPr="00C123EE">
              <w:rPr>
                <w:bCs/>
              </w:rPr>
              <w:t>ith Recommendations</w:t>
            </w:r>
          </w:p>
          <w:p w14:paraId="66203899" w14:textId="77777777" w:rsidR="00EC0934" w:rsidRDefault="00000000" w:rsidP="00EC0934">
            <w:pPr>
              <w:pStyle w:val="HSAGTableText"/>
              <w:contextualSpacing/>
              <w:rPr>
                <w:b/>
              </w:rPr>
            </w:pPr>
            <w:sdt>
              <w:sdtPr>
                <w:rPr>
                  <w:bCs/>
                </w:rPr>
                <w:id w:val="1632824811"/>
                <w14:checkbox>
                  <w14:checked w14:val="0"/>
                  <w14:checkedState w14:val="2612" w14:font="MS Gothic"/>
                  <w14:uncheckedState w14:val="2610" w14:font="MS Gothic"/>
                </w14:checkbox>
              </w:sdtPr>
              <w:sdtContent>
                <w:r w:rsidR="00EC0934" w:rsidRPr="00C123EE">
                  <w:rPr>
                    <w:rFonts w:ascii="MS Gothic" w:eastAsia="MS Gothic" w:hAnsi="MS Gothic" w:hint="eastAsia"/>
                    <w:bCs/>
                  </w:rPr>
                  <w:t>☐</w:t>
                </w:r>
              </w:sdtContent>
            </w:sdt>
            <w:r w:rsidR="00EC0934" w:rsidRPr="00C123EE">
              <w:rPr>
                <w:bCs/>
              </w:rPr>
              <w:t xml:space="preserve"> Not Accepted</w:t>
            </w:r>
          </w:p>
        </w:tc>
      </w:tr>
      <w:tr w:rsidR="00EC0934" w:rsidRPr="00903F99" w14:paraId="4448223C" w14:textId="77777777" w:rsidTr="007401D6">
        <w:trPr>
          <w:trHeight w:val="374"/>
          <w:jc w:val="center"/>
        </w:trPr>
        <w:tc>
          <w:tcPr>
            <w:tcW w:w="6474" w:type="dxa"/>
            <w:gridSpan w:val="2"/>
            <w:vMerge w:val="restart"/>
          </w:tcPr>
          <w:p w14:paraId="5EE833C0" w14:textId="77777777" w:rsidR="00EC0934" w:rsidRPr="001408D5" w:rsidRDefault="00EC0934" w:rsidP="00EC0934">
            <w:pPr>
              <w:pStyle w:val="ListNoNum"/>
              <w:rPr>
                <w:i/>
                <w:iCs/>
                <w:sz w:val="18"/>
                <w:szCs w:val="18"/>
              </w:rPr>
            </w:pPr>
            <w:r w:rsidRPr="001408D5">
              <w:rPr>
                <w:spacing w:val="-4"/>
              </w:rPr>
              <w:t>18.</w:t>
            </w:r>
            <w:r w:rsidRPr="001408D5">
              <w:rPr>
                <w:spacing w:val="-4"/>
              </w:rPr>
              <w:tab/>
            </w:r>
            <w:r w:rsidRPr="001408D5">
              <w:rPr>
                <w:i/>
              </w:rPr>
              <w:t>For credentialing and recredentialing, the PIHP confirms that the provider is not excluded from participation:</w:t>
            </w:r>
          </w:p>
          <w:p w14:paraId="0D163A86" w14:textId="77777777" w:rsidR="00EC0934" w:rsidRPr="001408D5" w:rsidRDefault="00EC0934" w:rsidP="00EC0934">
            <w:pPr>
              <w:pStyle w:val="ListNoNum2"/>
              <w:ind w:left="692"/>
              <w:rPr>
                <w:i/>
                <w:iCs/>
                <w:sz w:val="18"/>
                <w:szCs w:val="18"/>
              </w:rPr>
            </w:pPr>
            <w:r w:rsidRPr="001408D5">
              <w:t>a</w:t>
            </w:r>
            <w:proofErr w:type="gramStart"/>
            <w:r w:rsidRPr="001408D5">
              <w:t xml:space="preserve">. </w:t>
            </w:r>
            <w:r w:rsidRPr="001408D5">
              <w:tab/>
            </w:r>
            <w:r w:rsidRPr="001408D5">
              <w:rPr>
                <w:i/>
                <w:iCs/>
              </w:rPr>
              <w:t>In</w:t>
            </w:r>
            <w:proofErr w:type="gramEnd"/>
            <w:r w:rsidRPr="001408D5">
              <w:rPr>
                <w:i/>
                <w:iCs/>
              </w:rPr>
              <w:t xml:space="preserve"> Medicare, Medicaid, or federal contracts. </w:t>
            </w:r>
          </w:p>
          <w:p w14:paraId="28CFDE21" w14:textId="77777777" w:rsidR="00EC0934" w:rsidRPr="001408D5" w:rsidRDefault="00EC0934" w:rsidP="00EC0934">
            <w:pPr>
              <w:pStyle w:val="ListNoNum2"/>
              <w:ind w:left="692"/>
              <w:rPr>
                <w:i/>
                <w:iCs/>
                <w:sz w:val="18"/>
                <w:szCs w:val="18"/>
              </w:rPr>
            </w:pPr>
            <w:r w:rsidRPr="001408D5">
              <w:lastRenderedPageBreak/>
              <w:t>b</w:t>
            </w:r>
            <w:proofErr w:type="gramStart"/>
            <w:r w:rsidRPr="001408D5">
              <w:t xml:space="preserve">. </w:t>
            </w:r>
            <w:r w:rsidRPr="001408D5">
              <w:tab/>
            </w:r>
            <w:r w:rsidRPr="001408D5">
              <w:rPr>
                <w:i/>
                <w:iCs/>
              </w:rPr>
              <w:t>Through</w:t>
            </w:r>
            <w:proofErr w:type="gramEnd"/>
            <w:r w:rsidRPr="001408D5">
              <w:rPr>
                <w:i/>
                <w:iCs/>
              </w:rPr>
              <w:t xml:space="preserve"> the MDHHS Sanctioned Provider List.</w:t>
            </w:r>
          </w:p>
          <w:p w14:paraId="49895B59" w14:textId="77777777" w:rsidR="00EC0934" w:rsidRPr="001408D5" w:rsidRDefault="00EC0934" w:rsidP="00EC0934">
            <w:pPr>
              <w:pStyle w:val="HSAGNumbers"/>
              <w:numPr>
                <w:ilvl w:val="0"/>
                <w:numId w:val="0"/>
              </w:numPr>
              <w:contextualSpacing/>
              <w:jc w:val="right"/>
              <w:rPr>
                <w:iCs/>
                <w:sz w:val="18"/>
                <w:szCs w:val="16"/>
              </w:rPr>
            </w:pPr>
          </w:p>
          <w:p w14:paraId="35824A7C" w14:textId="77777777" w:rsidR="00EC0934" w:rsidRPr="001408D5" w:rsidRDefault="00EC0934" w:rsidP="00EC0934">
            <w:pPr>
              <w:pStyle w:val="HSAGTableContracttext"/>
            </w:pPr>
            <w:r w:rsidRPr="001408D5">
              <w:t>42 CFR §438.214(e)</w:t>
            </w:r>
          </w:p>
          <w:p w14:paraId="0CFE8DAD" w14:textId="62705920" w:rsidR="00EC0934" w:rsidRPr="00903F99" w:rsidRDefault="00EC0934" w:rsidP="00EC0934">
            <w:pPr>
              <w:pStyle w:val="HSAGTableContracttext"/>
              <w:keepNext/>
              <w:spacing w:before="0" w:after="0"/>
              <w:ind w:left="1440"/>
              <w:contextualSpacing/>
              <w:rPr>
                <w:i/>
                <w:szCs w:val="18"/>
              </w:rPr>
            </w:pPr>
            <w:r w:rsidRPr="001408D5">
              <w:rPr>
                <w:szCs w:val="16"/>
              </w:rPr>
              <w:t>Credentialing and Re-Credentialing Processes—D(</w:t>
            </w:r>
            <w:proofErr w:type="gramStart"/>
            <w:r w:rsidRPr="001408D5">
              <w:rPr>
                <w:szCs w:val="16"/>
              </w:rPr>
              <w:t>1)(</w:t>
            </w:r>
            <w:proofErr w:type="gramEnd"/>
            <w:r w:rsidRPr="001408D5">
              <w:rPr>
                <w:szCs w:val="16"/>
              </w:rPr>
              <w:t>e–f)</w:t>
            </w:r>
          </w:p>
        </w:tc>
        <w:tc>
          <w:tcPr>
            <w:tcW w:w="6116" w:type="dxa"/>
            <w:gridSpan w:val="2"/>
            <w:shd w:val="clear" w:color="auto" w:fill="FFFFFF" w:themeFill="background1"/>
          </w:tcPr>
          <w:p w14:paraId="0B1817EA" w14:textId="77777777" w:rsidR="00EC0934" w:rsidRPr="001408D5" w:rsidRDefault="00EC0934" w:rsidP="00EC0934">
            <w:pPr>
              <w:pStyle w:val="HSAGTableText"/>
              <w:contextualSpacing/>
              <w:rPr>
                <w:b/>
                <w:bCs/>
              </w:rPr>
            </w:pPr>
            <w:r w:rsidRPr="001408D5">
              <w:rPr>
                <w:b/>
                <w:bCs/>
              </w:rPr>
              <w:lastRenderedPageBreak/>
              <w:t>HSAG Required Evidence:</w:t>
            </w:r>
          </w:p>
          <w:p w14:paraId="7C6D49AB" w14:textId="77777777" w:rsidR="00EC0934" w:rsidRDefault="00EC0934" w:rsidP="00595A8D">
            <w:pPr>
              <w:pStyle w:val="HSAGTableText"/>
              <w:numPr>
                <w:ilvl w:val="0"/>
                <w:numId w:val="19"/>
              </w:numPr>
              <w:contextualSpacing/>
            </w:pPr>
            <w:r w:rsidRPr="001408D5">
              <w:t>Policies and procedures</w:t>
            </w:r>
          </w:p>
          <w:p w14:paraId="1C8DE16B" w14:textId="3031AAAC" w:rsidR="00EC0934" w:rsidRPr="00903F99" w:rsidRDefault="00EC0934" w:rsidP="00595A8D">
            <w:pPr>
              <w:pStyle w:val="HSAGTableText"/>
              <w:numPr>
                <w:ilvl w:val="0"/>
                <w:numId w:val="19"/>
              </w:numPr>
              <w:contextualSpacing/>
            </w:pPr>
            <w:r w:rsidRPr="001408D5">
              <w:t>HSAG will also use the results of the Organizational Credentialing and Recredentialing File Reviews</w:t>
            </w:r>
          </w:p>
        </w:tc>
        <w:tc>
          <w:tcPr>
            <w:tcW w:w="1421" w:type="dxa"/>
            <w:vMerge w:val="restart"/>
            <w:shd w:val="clear" w:color="auto" w:fill="FFFFFF" w:themeFill="background1"/>
          </w:tcPr>
          <w:p w14:paraId="5D8E379C" w14:textId="77777777" w:rsidR="00EC0934" w:rsidRPr="001408D5" w:rsidRDefault="00000000" w:rsidP="00EC0934">
            <w:pPr>
              <w:spacing w:before="60" w:after="0"/>
              <w:contextualSpacing/>
              <w:rPr>
                <w:sz w:val="22"/>
              </w:rPr>
            </w:pPr>
            <w:sdt>
              <w:sdtPr>
                <w:rPr>
                  <w:sz w:val="22"/>
                </w:rPr>
                <w:id w:val="1438254143"/>
                <w14:checkbox>
                  <w14:checked w14:val="0"/>
                  <w14:checkedState w14:val="2612" w14:font="MS Gothic"/>
                  <w14:uncheckedState w14:val="2610" w14:font="MS Gothic"/>
                </w14:checkbox>
              </w:sdtPr>
              <w:sdtContent>
                <w:r w:rsidR="00EC0934" w:rsidRPr="001408D5">
                  <w:rPr>
                    <w:rFonts w:ascii="MS Gothic" w:eastAsia="MS Gothic" w:hAnsi="MS Gothic" w:hint="eastAsia"/>
                    <w:sz w:val="22"/>
                  </w:rPr>
                  <w:t>☐</w:t>
                </w:r>
              </w:sdtContent>
            </w:sdt>
            <w:r w:rsidR="00EC0934" w:rsidRPr="001408D5">
              <w:rPr>
                <w:sz w:val="22"/>
              </w:rPr>
              <w:t xml:space="preserve"> Met</w:t>
            </w:r>
          </w:p>
          <w:p w14:paraId="33F84ADE" w14:textId="77777777" w:rsidR="00EC0934" w:rsidRPr="001408D5" w:rsidRDefault="00000000" w:rsidP="00EC0934">
            <w:pPr>
              <w:spacing w:before="60" w:after="0"/>
              <w:contextualSpacing/>
              <w:rPr>
                <w:sz w:val="22"/>
              </w:rPr>
            </w:pPr>
            <w:sdt>
              <w:sdtPr>
                <w:rPr>
                  <w:sz w:val="22"/>
                </w:rPr>
                <w:id w:val="463548627"/>
                <w14:checkbox>
                  <w14:checked w14:val="1"/>
                  <w14:checkedState w14:val="2612" w14:font="MS Gothic"/>
                  <w14:uncheckedState w14:val="2610" w14:font="MS Gothic"/>
                </w14:checkbox>
              </w:sdtPr>
              <w:sdtContent>
                <w:r w:rsidR="00EC0934" w:rsidRPr="001408D5">
                  <w:rPr>
                    <w:rFonts w:ascii="MS Gothic" w:eastAsia="MS Gothic" w:hAnsi="MS Gothic" w:hint="eastAsia"/>
                    <w:sz w:val="22"/>
                  </w:rPr>
                  <w:t>☒</w:t>
                </w:r>
              </w:sdtContent>
            </w:sdt>
            <w:r w:rsidR="00EC0934" w:rsidRPr="001408D5">
              <w:rPr>
                <w:sz w:val="22"/>
              </w:rPr>
              <w:t xml:space="preserve"> Not Met</w:t>
            </w:r>
          </w:p>
          <w:p w14:paraId="575CEF67" w14:textId="77777777" w:rsidR="00EC0934" w:rsidRPr="001408D5" w:rsidRDefault="00000000" w:rsidP="00EC0934">
            <w:pPr>
              <w:spacing w:before="60" w:after="0"/>
              <w:contextualSpacing/>
              <w:rPr>
                <w:sz w:val="22"/>
              </w:rPr>
            </w:pPr>
            <w:sdt>
              <w:sdtPr>
                <w:rPr>
                  <w:sz w:val="22"/>
                </w:rPr>
                <w:id w:val="1737206385"/>
                <w14:checkbox>
                  <w14:checked w14:val="0"/>
                  <w14:checkedState w14:val="2612" w14:font="MS Gothic"/>
                  <w14:uncheckedState w14:val="2610" w14:font="MS Gothic"/>
                </w14:checkbox>
              </w:sdtPr>
              <w:sdtContent>
                <w:r w:rsidR="00EC0934" w:rsidRPr="001408D5">
                  <w:rPr>
                    <w:rFonts w:ascii="MS Gothic" w:eastAsia="MS Gothic" w:hAnsi="MS Gothic" w:hint="eastAsia"/>
                    <w:sz w:val="22"/>
                  </w:rPr>
                  <w:t>☐</w:t>
                </w:r>
              </w:sdtContent>
            </w:sdt>
            <w:r w:rsidR="00EC0934" w:rsidRPr="001408D5">
              <w:rPr>
                <w:sz w:val="22"/>
              </w:rPr>
              <w:t xml:space="preserve"> NA</w:t>
            </w:r>
          </w:p>
          <w:p w14:paraId="0A0D88DC" w14:textId="77777777" w:rsidR="00EC0934" w:rsidRPr="00903F99" w:rsidRDefault="00EC0934" w:rsidP="00EC0934">
            <w:pPr>
              <w:spacing w:before="0" w:after="0"/>
              <w:contextualSpacing/>
              <w:rPr>
                <w:sz w:val="22"/>
              </w:rPr>
            </w:pPr>
          </w:p>
        </w:tc>
      </w:tr>
      <w:tr w:rsidR="00EC0934" w:rsidRPr="00903F99" w14:paraId="2F20C209" w14:textId="77777777" w:rsidTr="007401D6">
        <w:trPr>
          <w:trHeight w:val="374"/>
          <w:jc w:val="center"/>
        </w:trPr>
        <w:tc>
          <w:tcPr>
            <w:tcW w:w="6474" w:type="dxa"/>
            <w:gridSpan w:val="2"/>
            <w:vMerge/>
          </w:tcPr>
          <w:p w14:paraId="1E56281F" w14:textId="77777777" w:rsidR="00EC0934" w:rsidRPr="00903F99" w:rsidRDefault="00EC0934" w:rsidP="00595A8D">
            <w:pPr>
              <w:pStyle w:val="HSAGNumbers"/>
              <w:numPr>
                <w:ilvl w:val="0"/>
                <w:numId w:val="16"/>
              </w:numPr>
              <w:spacing w:before="0" w:after="0"/>
              <w:contextualSpacing/>
            </w:pPr>
          </w:p>
        </w:tc>
        <w:tc>
          <w:tcPr>
            <w:tcW w:w="6116" w:type="dxa"/>
            <w:gridSpan w:val="2"/>
            <w:shd w:val="clear" w:color="auto" w:fill="FFFFFF" w:themeFill="background1"/>
          </w:tcPr>
          <w:p w14:paraId="23592A92" w14:textId="77777777" w:rsidR="00EC0934" w:rsidRPr="001408D5" w:rsidRDefault="00EC0934" w:rsidP="00EC0934">
            <w:pPr>
              <w:pStyle w:val="HSAGTableText"/>
              <w:contextualSpacing/>
              <w:rPr>
                <w:b/>
                <w:bCs/>
              </w:rPr>
            </w:pPr>
            <w:r w:rsidRPr="001408D5">
              <w:rPr>
                <w:b/>
                <w:bCs/>
              </w:rPr>
              <w:t>Evidence as Submitted by the PIHP:</w:t>
            </w:r>
          </w:p>
          <w:p w14:paraId="2EC2E8F3" w14:textId="77777777" w:rsidR="00EC0934" w:rsidRPr="001408D5" w:rsidRDefault="00EC0934" w:rsidP="00595A8D">
            <w:pPr>
              <w:pStyle w:val="HSAGTableText"/>
              <w:numPr>
                <w:ilvl w:val="0"/>
                <w:numId w:val="19"/>
              </w:numPr>
              <w:contextualSpacing/>
            </w:pPr>
            <w:r w:rsidRPr="001408D5">
              <w:t>Credentialing Policy and Procedure: Page 3 of PDF, A.3; Page 7 of PDF, E.3</w:t>
            </w:r>
          </w:p>
          <w:p w14:paraId="066F77D1" w14:textId="77777777" w:rsidR="00EC0934" w:rsidRPr="001408D5" w:rsidRDefault="00EC0934" w:rsidP="00595A8D">
            <w:pPr>
              <w:pStyle w:val="HSAGTableText"/>
              <w:numPr>
                <w:ilvl w:val="0"/>
                <w:numId w:val="19"/>
              </w:numPr>
              <w:contextualSpacing/>
            </w:pPr>
            <w:r w:rsidRPr="001408D5">
              <w:t>Excluded Provider Screening: Page 2 of PDF, Policy 1)-5)</w:t>
            </w:r>
          </w:p>
          <w:p w14:paraId="7D542F9D" w14:textId="77777777" w:rsidR="00EC0934" w:rsidRPr="001408D5" w:rsidRDefault="00EC0934" w:rsidP="00595A8D">
            <w:pPr>
              <w:pStyle w:val="HSAGTableText"/>
              <w:numPr>
                <w:ilvl w:val="0"/>
                <w:numId w:val="19"/>
              </w:numPr>
              <w:contextualSpacing/>
            </w:pPr>
            <w:r w:rsidRPr="001408D5">
              <w:t>FY2024_NMRE_CWN_Agreement: Page 28, XII. Provider Procurement, C; Page 45, XIX 2</w:t>
            </w:r>
          </w:p>
          <w:p w14:paraId="21B39E10" w14:textId="77777777" w:rsidR="00EC0934" w:rsidRPr="001408D5" w:rsidRDefault="00EC0934" w:rsidP="00595A8D">
            <w:pPr>
              <w:pStyle w:val="HSAGTableText"/>
              <w:numPr>
                <w:ilvl w:val="0"/>
                <w:numId w:val="19"/>
              </w:numPr>
              <w:contextualSpacing/>
            </w:pPr>
            <w:r w:rsidRPr="001408D5">
              <w:t>NMRE and SUD Entities EPS Summary for April 2024</w:t>
            </w:r>
          </w:p>
          <w:p w14:paraId="02C38164" w14:textId="77777777" w:rsidR="00EC0934" w:rsidRPr="001408D5" w:rsidRDefault="00EC0934" w:rsidP="00595A8D">
            <w:pPr>
              <w:pStyle w:val="HSAGTableText"/>
              <w:numPr>
                <w:ilvl w:val="0"/>
                <w:numId w:val="19"/>
              </w:numPr>
              <w:contextualSpacing/>
            </w:pPr>
            <w:r w:rsidRPr="001408D5">
              <w:t>NMRE and SUD Entities EPS Summary for May 2024</w:t>
            </w:r>
          </w:p>
          <w:p w14:paraId="6D677CCB" w14:textId="77777777" w:rsidR="00EC0934" w:rsidRDefault="00EC0934" w:rsidP="00595A8D">
            <w:pPr>
              <w:pStyle w:val="HSAGTableText"/>
              <w:numPr>
                <w:ilvl w:val="0"/>
                <w:numId w:val="19"/>
              </w:numPr>
              <w:contextualSpacing/>
            </w:pPr>
            <w:r w:rsidRPr="001408D5">
              <w:t>NMRE and SUD Entities EPS Summary for February 2024</w:t>
            </w:r>
          </w:p>
          <w:p w14:paraId="6A4DFC4F" w14:textId="7E430D70" w:rsidR="00EC0934" w:rsidRPr="00903F99" w:rsidRDefault="00EC0934" w:rsidP="00595A8D">
            <w:pPr>
              <w:pStyle w:val="HSAGTableText"/>
              <w:numPr>
                <w:ilvl w:val="0"/>
                <w:numId w:val="19"/>
              </w:numPr>
              <w:contextualSpacing/>
            </w:pPr>
            <w:r w:rsidRPr="001408D5">
              <w:t xml:space="preserve">2024_CMHSP_Staff_Cred </w:t>
            </w:r>
            <w:proofErr w:type="spellStart"/>
            <w:r w:rsidRPr="001408D5">
              <w:t>ReCred</w:t>
            </w:r>
            <w:proofErr w:type="spellEnd"/>
            <w:r w:rsidRPr="001408D5">
              <w:t xml:space="preserve"> Monitoring Tool: Page 2 (middle), Page 4 (middle)</w:t>
            </w:r>
          </w:p>
        </w:tc>
        <w:tc>
          <w:tcPr>
            <w:tcW w:w="1421" w:type="dxa"/>
            <w:vMerge/>
            <w:shd w:val="clear" w:color="auto" w:fill="FFFFFF" w:themeFill="background1"/>
          </w:tcPr>
          <w:p w14:paraId="4CD554BD" w14:textId="77777777" w:rsidR="00EC0934" w:rsidRPr="00903F99" w:rsidRDefault="00EC0934" w:rsidP="00EC0934">
            <w:pPr>
              <w:spacing w:before="0" w:after="0"/>
              <w:contextualSpacing/>
              <w:rPr>
                <w:sz w:val="22"/>
              </w:rPr>
            </w:pPr>
          </w:p>
        </w:tc>
      </w:tr>
      <w:tr w:rsidR="00EC0934" w:rsidRPr="00903F99" w14:paraId="74AA6BC9" w14:textId="77777777" w:rsidTr="004E3199">
        <w:trPr>
          <w:trHeight w:val="374"/>
          <w:jc w:val="center"/>
        </w:trPr>
        <w:tc>
          <w:tcPr>
            <w:tcW w:w="14011" w:type="dxa"/>
            <w:gridSpan w:val="5"/>
            <w:vAlign w:val="center"/>
          </w:tcPr>
          <w:p w14:paraId="16C091EA" w14:textId="5DC764B9" w:rsidR="00EC0934" w:rsidRPr="00903F99" w:rsidRDefault="00EC0934" w:rsidP="00EC0934">
            <w:pPr>
              <w:pStyle w:val="HSAGTableText"/>
              <w:spacing w:before="0" w:after="0"/>
            </w:pPr>
            <w:r w:rsidRPr="001408D5">
              <w:rPr>
                <w:b/>
              </w:rPr>
              <w:t>PIHP Description of Process:</w:t>
            </w:r>
            <w:r w:rsidRPr="001408D5">
              <w:t xml:space="preserve"> The NMRE, via policy and contracts with CMHSPs, requires that the Michigan Sanctioned Provider list, OIG Exclusions Database, and System for Award management </w:t>
            </w:r>
            <w:proofErr w:type="gramStart"/>
            <w:r w:rsidRPr="001408D5">
              <w:t>is</w:t>
            </w:r>
            <w:proofErr w:type="gramEnd"/>
            <w:r w:rsidRPr="001408D5">
              <w:t xml:space="preserve"> checked for each and evert provider in our network. We monitor this as part of our site review process; we verify </w:t>
            </w:r>
            <w:proofErr w:type="spellStart"/>
            <w:r w:rsidRPr="001408D5">
              <w:t>Valenz</w:t>
            </w:r>
            <w:proofErr w:type="spellEnd"/>
            <w:r w:rsidRPr="001408D5">
              <w:t xml:space="preserve"> checks monthly for each current (recredentialed) provider, and either an upfront </w:t>
            </w:r>
            <w:proofErr w:type="spellStart"/>
            <w:r w:rsidRPr="001408D5">
              <w:t>Valenz</w:t>
            </w:r>
            <w:proofErr w:type="spellEnd"/>
            <w:r w:rsidRPr="001408D5">
              <w:t xml:space="preserve"> check of PSV from the exclusions database initially (before the provider is onboarded and added to the </w:t>
            </w:r>
            <w:proofErr w:type="spellStart"/>
            <w:r w:rsidRPr="001408D5">
              <w:t>Valenz</w:t>
            </w:r>
            <w:proofErr w:type="spellEnd"/>
            <w:r w:rsidRPr="001408D5">
              <w:t xml:space="preserve"> report). We have a separate policy for </w:t>
            </w:r>
            <w:proofErr w:type="gramStart"/>
            <w:r w:rsidRPr="001408D5">
              <w:t>this, and</w:t>
            </w:r>
            <w:proofErr w:type="gramEnd"/>
            <w:r w:rsidRPr="001408D5">
              <w:t xml:space="preserve"> also reference this in our credentialing policy. </w:t>
            </w:r>
          </w:p>
        </w:tc>
      </w:tr>
      <w:tr w:rsidR="00EC0934" w:rsidRPr="0026679F" w14:paraId="200CC3B2" w14:textId="77777777" w:rsidTr="004E3199">
        <w:trPr>
          <w:trHeight w:val="374"/>
          <w:jc w:val="center"/>
        </w:trPr>
        <w:tc>
          <w:tcPr>
            <w:tcW w:w="14011" w:type="dxa"/>
            <w:gridSpan w:val="5"/>
            <w:tcBorders>
              <w:bottom w:val="single" w:sz="4" w:space="0" w:color="000000"/>
            </w:tcBorders>
            <w:vAlign w:val="center"/>
          </w:tcPr>
          <w:p w14:paraId="48F5FD8C" w14:textId="457006BE" w:rsidR="00EC0934" w:rsidRPr="0026679F" w:rsidRDefault="00EC0934" w:rsidP="00EC0934">
            <w:pPr>
              <w:pStyle w:val="HSAGTableText"/>
              <w:spacing w:before="0"/>
            </w:pPr>
            <w:r w:rsidRPr="001408D5">
              <w:rPr>
                <w:b/>
              </w:rPr>
              <w:t>HSAG Findings:</w:t>
            </w:r>
            <w:r w:rsidRPr="001408D5">
              <w:t xml:space="preserve"> </w:t>
            </w:r>
            <w:r w:rsidRPr="00D377F5">
              <w:rPr>
                <w:highlight w:val="yellow"/>
              </w:rPr>
              <w:t>For two organizational credentialing case files, Medicare and Medicaid sanction/exclusion checks were completed after the credentialing approval date. While these deficiencies were identified during internal reviews, these case files did not meet the requirements of this element.</w:t>
            </w:r>
            <w:r w:rsidRPr="001408D5">
              <w:t xml:space="preserve"> </w:t>
            </w:r>
            <w:r w:rsidRPr="001408D5">
              <w:rPr>
                <w:rFonts w:cstheme="minorBidi"/>
                <w:noProof/>
                <w:color w:val="auto"/>
                <w:sz w:val="24"/>
              </w:rPr>
              <w:t xml:space="preserve"> </w:t>
            </w:r>
          </w:p>
        </w:tc>
      </w:tr>
      <w:tr w:rsidR="00EC0934" w:rsidRPr="0026679F" w14:paraId="6570BCAB" w14:textId="77777777" w:rsidTr="004E3199">
        <w:trPr>
          <w:trHeight w:val="374"/>
          <w:jc w:val="center"/>
        </w:trPr>
        <w:tc>
          <w:tcPr>
            <w:tcW w:w="14011" w:type="dxa"/>
            <w:gridSpan w:val="5"/>
            <w:tcBorders>
              <w:top w:val="single" w:sz="4" w:space="0" w:color="000000"/>
              <w:bottom w:val="single" w:sz="4" w:space="0" w:color="auto"/>
            </w:tcBorders>
            <w:vAlign w:val="center"/>
          </w:tcPr>
          <w:p w14:paraId="24BC435B" w14:textId="75BF7253" w:rsidR="00EC0934" w:rsidRPr="0026679F" w:rsidRDefault="00EC0934" w:rsidP="00EC0934">
            <w:pPr>
              <w:pStyle w:val="HSAGTableText"/>
              <w:rPr>
                <w:b/>
              </w:rPr>
            </w:pPr>
            <w:r w:rsidRPr="001408D5">
              <w:rPr>
                <w:b/>
              </w:rPr>
              <w:t>Required Actions:</w:t>
            </w:r>
            <w:r w:rsidRPr="001408D5">
              <w:t xml:space="preserve"> </w:t>
            </w:r>
            <w:r w:rsidRPr="00D377F5">
              <w:rPr>
                <w:highlight w:val="yellow"/>
              </w:rPr>
              <w:t>The PIHP must ensure that all providers are not excluded from participation in Medicare, Medicaid, or federal contracts or included on the MDHHS Sanctioned Provider List prior to the credentialing decision.</w:t>
            </w:r>
            <w:r w:rsidRPr="001408D5">
              <w:t xml:space="preserve"> </w:t>
            </w:r>
          </w:p>
        </w:tc>
      </w:tr>
      <w:tr w:rsidR="00EC0934" w:rsidRPr="00D16F05" w14:paraId="5531805A" w14:textId="77777777" w:rsidTr="004E3199">
        <w:tblPrEx>
          <w:tblCellMar>
            <w:left w:w="108" w:type="dxa"/>
            <w:right w:w="108" w:type="dxa"/>
          </w:tblCellMar>
        </w:tblPrEx>
        <w:trPr>
          <w:trHeight w:val="374"/>
          <w:jc w:val="center"/>
        </w:trPr>
        <w:tc>
          <w:tcPr>
            <w:tcW w:w="14011" w:type="dxa"/>
            <w:gridSpan w:val="5"/>
            <w:tcBorders>
              <w:top w:val="single" w:sz="4" w:space="0" w:color="auto"/>
              <w:bottom w:val="single" w:sz="4" w:space="0" w:color="000000" w:themeColor="text1"/>
            </w:tcBorders>
            <w:shd w:val="clear" w:color="auto" w:fill="F79548" w:themeFill="accent4"/>
          </w:tcPr>
          <w:p w14:paraId="3102D852" w14:textId="77777777" w:rsidR="00EC0934" w:rsidRPr="00D16F05" w:rsidRDefault="00EC0934" w:rsidP="00EC0934">
            <w:pPr>
              <w:pStyle w:val="HSAGTableText"/>
              <w:keepNext/>
              <w:contextualSpacing/>
              <w:rPr>
                <w:b/>
              </w:rPr>
            </w:pPr>
            <w:r>
              <w:rPr>
                <w:b/>
              </w:rPr>
              <w:t>PIHP Corrective Action Plan</w:t>
            </w:r>
          </w:p>
        </w:tc>
      </w:tr>
      <w:tr w:rsidR="00DA7694" w:rsidRPr="00984D92" w14:paraId="4FAE0B15"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6715F03C" w14:textId="45F9DB12" w:rsidR="00DA7694" w:rsidRPr="00984D92" w:rsidRDefault="00DA7694" w:rsidP="00DA7694">
            <w:pPr>
              <w:pStyle w:val="HSAGTableText"/>
              <w:contextualSpacing/>
              <w:rPr>
                <w:bCs/>
              </w:rPr>
            </w:pPr>
            <w:r>
              <w:rPr>
                <w:b/>
              </w:rPr>
              <w:t>Root Cause Analysis:</w:t>
            </w:r>
            <w:r w:rsidRPr="003F5489">
              <w:rPr>
                <w:bCs/>
              </w:rPr>
              <w:t xml:space="preserve"> </w:t>
            </w:r>
            <w:r w:rsidRPr="00D377F5">
              <w:rPr>
                <w:bCs/>
                <w:highlight w:val="yellow"/>
              </w:rPr>
              <w:t xml:space="preserve">The NMRE has issued guidance to its regional CMHSPs that while they do monthly ongoing checks for Medicare and Medicaid sanctions using a third-party vendor, there should be primary checks during the time of credentialing. For one CMH, this happened due to poor tracking mechanisms, for another, it occurred during a transition of staff turnover. The monthly checks were still occurring during this </w:t>
            </w:r>
            <w:proofErr w:type="gramStart"/>
            <w:r w:rsidRPr="00D377F5">
              <w:rPr>
                <w:bCs/>
                <w:highlight w:val="yellow"/>
              </w:rPr>
              <w:t>time</w:t>
            </w:r>
            <w:proofErr w:type="gramEnd"/>
            <w:r w:rsidRPr="00D377F5">
              <w:rPr>
                <w:bCs/>
                <w:highlight w:val="yellow"/>
              </w:rPr>
              <w:t xml:space="preserve"> but primary checks were not present in the sample evidence.</w:t>
            </w:r>
          </w:p>
        </w:tc>
      </w:tr>
      <w:tr w:rsidR="00DA7694" w:rsidRPr="00FC2C0F" w14:paraId="135FE9D4"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62EC03F0" w14:textId="5F716CF4" w:rsidR="00DA7694" w:rsidRPr="00FC2C0F" w:rsidRDefault="00DA7694" w:rsidP="00DA7694">
            <w:pPr>
              <w:pStyle w:val="HSAGTableText"/>
              <w:contextualSpacing/>
              <w:rPr>
                <w:bCs/>
              </w:rPr>
            </w:pPr>
            <w:r>
              <w:rPr>
                <w:b/>
              </w:rPr>
              <w:t>PIHP Remediation Plan</w:t>
            </w:r>
            <w:r w:rsidRPr="00B30934">
              <w:rPr>
                <w:b/>
              </w:rPr>
              <w:t>:</w:t>
            </w:r>
            <w:r>
              <w:rPr>
                <w:bCs/>
              </w:rPr>
              <w:t xml:space="preserve"> </w:t>
            </w:r>
            <w:r w:rsidRPr="00D377F5">
              <w:rPr>
                <w:bCs/>
                <w:highlight w:val="yellow"/>
              </w:rPr>
              <w:t>NMRE will provide training to its CMHSPs that ensures all staff are aware of the requirements for Medicare and Medicaid sanction checks, and aware that the checks should be done within the timelines of the MDHHS credentialing policy and should be primary checks during the credentialing period.</w:t>
            </w:r>
          </w:p>
        </w:tc>
      </w:tr>
      <w:tr w:rsidR="00DA7694" w:rsidRPr="00FC2C0F" w14:paraId="7141D2BE"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619A231C" w14:textId="2A3A08D6" w:rsidR="00DA7694" w:rsidRPr="00DA7694" w:rsidRDefault="00DA7694" w:rsidP="00DA7694">
            <w:pPr>
              <w:pStyle w:val="HSAGTableText"/>
              <w:contextualSpacing/>
              <w:rPr>
                <w:bCs/>
              </w:rPr>
            </w:pPr>
            <w:r w:rsidRPr="00DA7694">
              <w:rPr>
                <w:b/>
              </w:rPr>
              <w:t>Responsible Individual(s):</w:t>
            </w:r>
            <w:r w:rsidRPr="00DA7694">
              <w:rPr>
                <w:bCs/>
              </w:rPr>
              <w:t xml:space="preserve"> </w:t>
            </w:r>
            <w:r w:rsidR="00D03F23">
              <w:rPr>
                <w:bCs/>
              </w:rPr>
              <w:t xml:space="preserve">Chris VanWagoner, </w:t>
            </w:r>
            <w:r w:rsidRPr="00DA7694">
              <w:rPr>
                <w:bCs/>
              </w:rPr>
              <w:t>Contract and Provider Network Manager</w:t>
            </w:r>
          </w:p>
        </w:tc>
      </w:tr>
      <w:tr w:rsidR="00DA7694" w:rsidRPr="00FC2C0F" w14:paraId="536FBE45"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auto"/>
            </w:tcBorders>
          </w:tcPr>
          <w:p w14:paraId="053EC09B" w14:textId="16627482" w:rsidR="00DA7694" w:rsidRPr="00FC2C0F" w:rsidRDefault="00DA7694" w:rsidP="00DA7694">
            <w:pPr>
              <w:pStyle w:val="HSAGTableText"/>
              <w:contextualSpacing/>
              <w:rPr>
                <w:bCs/>
              </w:rPr>
            </w:pPr>
            <w:r w:rsidRPr="00B30934">
              <w:rPr>
                <w:b/>
              </w:rPr>
              <w:lastRenderedPageBreak/>
              <w:t>Timeline:</w:t>
            </w:r>
            <w:r>
              <w:rPr>
                <w:bCs/>
              </w:rPr>
              <w:t xml:space="preserve"> </w:t>
            </w:r>
            <w:r w:rsidRPr="00D377F5">
              <w:rPr>
                <w:bCs/>
                <w:highlight w:val="yellow"/>
              </w:rPr>
              <w:t>Commence 10-30-25 to be completed 4-1-2026</w:t>
            </w:r>
          </w:p>
        </w:tc>
      </w:tr>
      <w:tr w:rsidR="00EC0934" w14:paraId="00982FA8" w14:textId="77777777" w:rsidTr="007401D6">
        <w:tblPrEx>
          <w:tblCellMar>
            <w:left w:w="108" w:type="dxa"/>
            <w:right w:w="108" w:type="dxa"/>
          </w:tblCellMar>
        </w:tblPrEx>
        <w:trPr>
          <w:trHeight w:val="374"/>
          <w:jc w:val="center"/>
        </w:trPr>
        <w:tc>
          <w:tcPr>
            <w:tcW w:w="10431" w:type="dxa"/>
            <w:gridSpan w:val="3"/>
            <w:tcBorders>
              <w:top w:val="single" w:sz="4" w:space="0" w:color="auto"/>
              <w:bottom w:val="single" w:sz="18" w:space="0" w:color="00549E" w:themeColor="text2"/>
            </w:tcBorders>
            <w:shd w:val="clear" w:color="auto" w:fill="F2F2F2" w:themeFill="background1" w:themeFillShade="F2"/>
          </w:tcPr>
          <w:p w14:paraId="00E32D3E" w14:textId="583CF962" w:rsidR="00EC0934" w:rsidRPr="00FC2C0F" w:rsidRDefault="00EC0934" w:rsidP="00EC0934">
            <w:pPr>
              <w:pStyle w:val="HSAGTableText"/>
              <w:contextualSpacing/>
              <w:rPr>
                <w:bCs/>
              </w:rPr>
            </w:pPr>
            <w:r>
              <w:rPr>
                <w:b/>
              </w:rPr>
              <w:t>MDHHS/HSAG Response:</w:t>
            </w:r>
            <w:r>
              <w:rPr>
                <w:bCs/>
              </w:rPr>
              <w:t xml:space="preserve"> </w:t>
            </w:r>
            <w:r w:rsidR="00367DE2" w:rsidRPr="00367DE2">
              <w:rPr>
                <w:bCs/>
              </w:rPr>
              <w:t xml:space="preserve">The PIHP’s remediation plan is sufficient to ensure compliance with the requirements for this program area. While no additional information is required to be submitted at this time, the PIHP must proceed with </w:t>
            </w:r>
            <w:proofErr w:type="gramStart"/>
            <w:r w:rsidR="00367DE2" w:rsidRPr="00367DE2">
              <w:rPr>
                <w:bCs/>
              </w:rPr>
              <w:t>timely</w:t>
            </w:r>
            <w:proofErr w:type="gramEnd"/>
            <w:r w:rsidR="00367DE2" w:rsidRPr="00367DE2">
              <w:rPr>
                <w:bCs/>
              </w:rPr>
              <w:t xml:space="preserve"> implementation of its action plans. Please note, an </w:t>
            </w:r>
            <w:r w:rsidR="00367DE2" w:rsidRPr="00367DE2">
              <w:rPr>
                <w:bCs/>
                <w:i/>
                <w:iCs/>
              </w:rPr>
              <w:t xml:space="preserve">Accepted </w:t>
            </w:r>
            <w:r w:rsidR="00367DE2" w:rsidRPr="00367DE2">
              <w:rPr>
                <w:bCs/>
              </w:rPr>
              <w:t>designation is not a guarantee of future compliance. Implementation of the PIHP’s action plans and demonstration of compliance will be assessed during future compliance review activities.</w:t>
            </w:r>
          </w:p>
        </w:tc>
        <w:tc>
          <w:tcPr>
            <w:tcW w:w="3580" w:type="dxa"/>
            <w:gridSpan w:val="2"/>
            <w:tcBorders>
              <w:top w:val="single" w:sz="4" w:space="0" w:color="auto"/>
              <w:bottom w:val="single" w:sz="18" w:space="0" w:color="00549E" w:themeColor="text2"/>
            </w:tcBorders>
            <w:shd w:val="clear" w:color="auto" w:fill="F2F2F2" w:themeFill="background1" w:themeFillShade="F2"/>
          </w:tcPr>
          <w:p w14:paraId="264B64A3" w14:textId="2164B5F8" w:rsidR="00EC0934" w:rsidRPr="00C123EE" w:rsidRDefault="00000000" w:rsidP="00EC0934">
            <w:pPr>
              <w:pStyle w:val="HSAGTableText"/>
              <w:contextualSpacing/>
              <w:rPr>
                <w:bCs/>
              </w:rPr>
            </w:pPr>
            <w:sdt>
              <w:sdtPr>
                <w:rPr>
                  <w:bCs/>
                </w:rPr>
                <w:id w:val="-954171265"/>
                <w14:checkbox>
                  <w14:checked w14:val="1"/>
                  <w14:checkedState w14:val="2612" w14:font="MS Gothic"/>
                  <w14:uncheckedState w14:val="2610" w14:font="MS Gothic"/>
                </w14:checkbox>
              </w:sdtPr>
              <w:sdtContent>
                <w:r w:rsidR="00367DE2">
                  <w:rPr>
                    <w:rFonts w:ascii="MS Gothic" w:eastAsia="MS Gothic" w:hAnsi="MS Gothic" w:hint="eastAsia"/>
                    <w:bCs/>
                  </w:rPr>
                  <w:t>☒</w:t>
                </w:r>
              </w:sdtContent>
            </w:sdt>
            <w:r w:rsidR="00EC0934" w:rsidRPr="00C123EE">
              <w:rPr>
                <w:bCs/>
              </w:rPr>
              <w:t xml:space="preserve"> Accepted</w:t>
            </w:r>
          </w:p>
          <w:p w14:paraId="35609523" w14:textId="77777777" w:rsidR="00EC0934" w:rsidRPr="00C123EE" w:rsidRDefault="00000000" w:rsidP="00EC0934">
            <w:pPr>
              <w:pStyle w:val="HSAGTableText"/>
              <w:contextualSpacing/>
              <w:rPr>
                <w:bCs/>
              </w:rPr>
            </w:pPr>
            <w:sdt>
              <w:sdtPr>
                <w:rPr>
                  <w:bCs/>
                </w:rPr>
                <w:id w:val="-331601156"/>
                <w14:checkbox>
                  <w14:checked w14:val="0"/>
                  <w14:checkedState w14:val="2612" w14:font="MS Gothic"/>
                  <w14:uncheckedState w14:val="2610" w14:font="MS Gothic"/>
                </w14:checkbox>
              </w:sdtPr>
              <w:sdtContent>
                <w:r w:rsidR="00EC0934" w:rsidRPr="00C123EE">
                  <w:rPr>
                    <w:rFonts w:ascii="MS Gothic" w:eastAsia="MS Gothic" w:hAnsi="MS Gothic" w:hint="eastAsia"/>
                    <w:bCs/>
                  </w:rPr>
                  <w:t>☐</w:t>
                </w:r>
              </w:sdtContent>
            </w:sdt>
            <w:r w:rsidR="00EC0934" w:rsidRPr="00C123EE">
              <w:rPr>
                <w:bCs/>
              </w:rPr>
              <w:t xml:space="preserve"> Accepted </w:t>
            </w:r>
            <w:r w:rsidR="00EC0934">
              <w:rPr>
                <w:bCs/>
              </w:rPr>
              <w:t>W</w:t>
            </w:r>
            <w:r w:rsidR="00EC0934" w:rsidRPr="00C123EE">
              <w:rPr>
                <w:bCs/>
              </w:rPr>
              <w:t>ith Recommendations</w:t>
            </w:r>
          </w:p>
          <w:p w14:paraId="55462F7A" w14:textId="77777777" w:rsidR="00EC0934" w:rsidRDefault="00000000" w:rsidP="00EC0934">
            <w:pPr>
              <w:pStyle w:val="HSAGTableText"/>
              <w:contextualSpacing/>
              <w:rPr>
                <w:b/>
              </w:rPr>
            </w:pPr>
            <w:sdt>
              <w:sdtPr>
                <w:rPr>
                  <w:bCs/>
                </w:rPr>
                <w:id w:val="1143937311"/>
                <w14:checkbox>
                  <w14:checked w14:val="0"/>
                  <w14:checkedState w14:val="2612" w14:font="MS Gothic"/>
                  <w14:uncheckedState w14:val="2610" w14:font="MS Gothic"/>
                </w14:checkbox>
              </w:sdtPr>
              <w:sdtContent>
                <w:r w:rsidR="00EC0934" w:rsidRPr="00C123EE">
                  <w:rPr>
                    <w:rFonts w:ascii="MS Gothic" w:eastAsia="MS Gothic" w:hAnsi="MS Gothic" w:hint="eastAsia"/>
                    <w:bCs/>
                  </w:rPr>
                  <w:t>☐</w:t>
                </w:r>
              </w:sdtContent>
            </w:sdt>
            <w:r w:rsidR="00EC0934" w:rsidRPr="00C123EE">
              <w:rPr>
                <w:bCs/>
              </w:rPr>
              <w:t xml:space="preserve"> Not Accepted</w:t>
            </w:r>
          </w:p>
        </w:tc>
      </w:tr>
      <w:tr w:rsidR="00EC0934" w:rsidRPr="00903F99" w14:paraId="579CC60F" w14:textId="77777777" w:rsidTr="007401D6">
        <w:trPr>
          <w:trHeight w:val="374"/>
          <w:jc w:val="center"/>
        </w:trPr>
        <w:tc>
          <w:tcPr>
            <w:tcW w:w="6474" w:type="dxa"/>
            <w:gridSpan w:val="2"/>
            <w:vMerge w:val="restart"/>
          </w:tcPr>
          <w:p w14:paraId="09265A43" w14:textId="77777777" w:rsidR="00EC0934" w:rsidRPr="001408D5" w:rsidRDefault="00EC0934" w:rsidP="00EC0934">
            <w:pPr>
              <w:pStyle w:val="ListNoNum"/>
              <w:rPr>
                <w:i/>
                <w:iCs/>
              </w:rPr>
            </w:pPr>
            <w:r w:rsidRPr="001408D5">
              <w:rPr>
                <w:spacing w:val="-4"/>
              </w:rPr>
              <w:t>22.</w:t>
            </w:r>
            <w:r w:rsidRPr="001408D5">
              <w:rPr>
                <w:spacing w:val="-4"/>
              </w:rPr>
              <w:tab/>
            </w:r>
            <w:r w:rsidRPr="001408D5">
              <w:rPr>
                <w:i/>
              </w:rPr>
              <w:t>The PIHP ensures that the credentialing process provides for mandatory recredentialing at least every two years.</w:t>
            </w:r>
          </w:p>
          <w:p w14:paraId="1F617D4E" w14:textId="77777777" w:rsidR="00EC0934" w:rsidRPr="001408D5" w:rsidRDefault="00EC0934" w:rsidP="00EC0934">
            <w:pPr>
              <w:pStyle w:val="ListNoNum"/>
              <w:rPr>
                <w:i/>
                <w:iCs/>
              </w:rPr>
            </w:pPr>
          </w:p>
          <w:p w14:paraId="7A10DF51" w14:textId="77777777" w:rsidR="00EC0934" w:rsidRPr="001408D5" w:rsidRDefault="00EC0934" w:rsidP="00EC0934">
            <w:pPr>
              <w:pStyle w:val="HSAGNumbers"/>
              <w:numPr>
                <w:ilvl w:val="0"/>
                <w:numId w:val="0"/>
              </w:numPr>
              <w:contextualSpacing/>
              <w:rPr>
                <w:i/>
                <w:iCs/>
                <w:sz w:val="20"/>
                <w:szCs w:val="20"/>
              </w:rPr>
            </w:pPr>
            <w:r w:rsidRPr="001408D5">
              <w:rPr>
                <w:i/>
                <w:sz w:val="20"/>
                <w:szCs w:val="18"/>
              </w:rPr>
              <w:t>Note: While recredentialing is required every three years with implementation of universal credentialing, during the look-back period for the file review, PIHPs were required to recredential providers every two years.</w:t>
            </w:r>
          </w:p>
          <w:p w14:paraId="7454194A" w14:textId="77777777" w:rsidR="00EC0934" w:rsidRPr="001408D5" w:rsidRDefault="00EC0934" w:rsidP="00EC0934">
            <w:pPr>
              <w:pStyle w:val="HSAGNumbers"/>
              <w:numPr>
                <w:ilvl w:val="0"/>
                <w:numId w:val="0"/>
              </w:numPr>
              <w:contextualSpacing/>
              <w:jc w:val="right"/>
              <w:rPr>
                <w:iCs/>
                <w:sz w:val="18"/>
                <w:szCs w:val="16"/>
              </w:rPr>
            </w:pPr>
          </w:p>
          <w:p w14:paraId="595B1741" w14:textId="77777777" w:rsidR="00EC0934" w:rsidRPr="001408D5" w:rsidRDefault="00EC0934" w:rsidP="00EC0934">
            <w:pPr>
              <w:pStyle w:val="HSAGTableContracttext"/>
            </w:pPr>
            <w:r w:rsidRPr="001408D5">
              <w:t>42 CFR §438.214(e)</w:t>
            </w:r>
          </w:p>
          <w:p w14:paraId="1697FDB2" w14:textId="77777777" w:rsidR="00EC0934" w:rsidRPr="001408D5" w:rsidRDefault="00EC0934" w:rsidP="00EC0934">
            <w:pPr>
              <w:pStyle w:val="HSAGTableContracttext"/>
              <w:rPr>
                <w:szCs w:val="16"/>
              </w:rPr>
            </w:pPr>
            <w:r w:rsidRPr="001408D5">
              <w:rPr>
                <w:szCs w:val="16"/>
              </w:rPr>
              <w:t xml:space="preserve">Credentialing and Re-Credentialing Processes—C </w:t>
            </w:r>
          </w:p>
          <w:p w14:paraId="24780CDA" w14:textId="5FEC4A69" w:rsidR="00EC0934" w:rsidRPr="00903F99" w:rsidRDefault="00EC0934" w:rsidP="00EC0934">
            <w:pPr>
              <w:pStyle w:val="HSAGTableContracttext"/>
              <w:keepNext/>
              <w:spacing w:before="0" w:after="0"/>
              <w:ind w:left="1440"/>
              <w:contextualSpacing/>
              <w:rPr>
                <w:i/>
                <w:szCs w:val="18"/>
              </w:rPr>
            </w:pPr>
            <w:r w:rsidRPr="001408D5">
              <w:rPr>
                <w:szCs w:val="16"/>
              </w:rPr>
              <w:t>Credentialing and Re-Credentialing Processes—D</w:t>
            </w:r>
          </w:p>
        </w:tc>
        <w:tc>
          <w:tcPr>
            <w:tcW w:w="6116" w:type="dxa"/>
            <w:gridSpan w:val="2"/>
            <w:shd w:val="clear" w:color="auto" w:fill="FFFFFF" w:themeFill="background1"/>
          </w:tcPr>
          <w:p w14:paraId="06EF998E" w14:textId="77777777" w:rsidR="00EC0934" w:rsidRPr="001408D5" w:rsidRDefault="00EC0934" w:rsidP="00EC0934">
            <w:pPr>
              <w:pStyle w:val="HSAGTableText"/>
              <w:contextualSpacing/>
              <w:rPr>
                <w:b/>
                <w:bCs/>
              </w:rPr>
            </w:pPr>
            <w:r w:rsidRPr="001408D5">
              <w:rPr>
                <w:b/>
                <w:bCs/>
              </w:rPr>
              <w:t>HSAG Required Evidence:</w:t>
            </w:r>
          </w:p>
          <w:p w14:paraId="30E29648" w14:textId="77777777" w:rsidR="00EC0934" w:rsidRPr="001408D5" w:rsidRDefault="00EC0934" w:rsidP="00595A8D">
            <w:pPr>
              <w:pStyle w:val="HSAGTableText"/>
              <w:numPr>
                <w:ilvl w:val="0"/>
                <w:numId w:val="19"/>
              </w:numPr>
              <w:contextualSpacing/>
            </w:pPr>
            <w:r w:rsidRPr="001408D5">
              <w:t>Policies and procedures</w:t>
            </w:r>
          </w:p>
          <w:p w14:paraId="456CF4EE" w14:textId="77777777" w:rsidR="00EC0934" w:rsidRDefault="00EC0934" w:rsidP="00595A8D">
            <w:pPr>
              <w:pStyle w:val="HSAGTableText"/>
              <w:numPr>
                <w:ilvl w:val="0"/>
                <w:numId w:val="19"/>
              </w:numPr>
              <w:contextualSpacing/>
            </w:pPr>
            <w:r w:rsidRPr="001408D5">
              <w:t>Tracking and reporting mechanisms for timeliness</w:t>
            </w:r>
          </w:p>
          <w:p w14:paraId="2C91D340" w14:textId="49365BCF" w:rsidR="00EC0934" w:rsidRPr="00903F99" w:rsidRDefault="00EC0934" w:rsidP="00595A8D">
            <w:pPr>
              <w:pStyle w:val="HSAGTableText"/>
              <w:numPr>
                <w:ilvl w:val="0"/>
                <w:numId w:val="19"/>
              </w:numPr>
              <w:contextualSpacing/>
            </w:pPr>
            <w:r w:rsidRPr="00EC0934">
              <w:t>HSAG will also</w:t>
            </w:r>
            <w:r w:rsidRPr="001408D5">
              <w:t xml:space="preserve"> use the results of the Practitioner and Organizational Credentialing and Recredentialing File Reviews</w:t>
            </w:r>
          </w:p>
        </w:tc>
        <w:tc>
          <w:tcPr>
            <w:tcW w:w="1421" w:type="dxa"/>
            <w:vMerge w:val="restart"/>
            <w:shd w:val="clear" w:color="auto" w:fill="FFFFFF" w:themeFill="background1"/>
          </w:tcPr>
          <w:p w14:paraId="5A148CBE" w14:textId="77777777" w:rsidR="00EC0934" w:rsidRPr="001408D5" w:rsidRDefault="00000000" w:rsidP="00EC0934">
            <w:pPr>
              <w:spacing w:before="60" w:after="0"/>
              <w:contextualSpacing/>
              <w:rPr>
                <w:sz w:val="22"/>
              </w:rPr>
            </w:pPr>
            <w:sdt>
              <w:sdtPr>
                <w:rPr>
                  <w:sz w:val="22"/>
                </w:rPr>
                <w:id w:val="-65955588"/>
                <w14:checkbox>
                  <w14:checked w14:val="0"/>
                  <w14:checkedState w14:val="2612" w14:font="MS Gothic"/>
                  <w14:uncheckedState w14:val="2610" w14:font="MS Gothic"/>
                </w14:checkbox>
              </w:sdtPr>
              <w:sdtContent>
                <w:r w:rsidR="00EC0934" w:rsidRPr="001408D5">
                  <w:rPr>
                    <w:rFonts w:ascii="MS Gothic" w:eastAsia="MS Gothic" w:hAnsi="MS Gothic" w:hint="eastAsia"/>
                    <w:sz w:val="22"/>
                  </w:rPr>
                  <w:t>☐</w:t>
                </w:r>
              </w:sdtContent>
            </w:sdt>
            <w:r w:rsidR="00EC0934" w:rsidRPr="001408D5">
              <w:rPr>
                <w:sz w:val="22"/>
              </w:rPr>
              <w:t xml:space="preserve"> Met</w:t>
            </w:r>
          </w:p>
          <w:p w14:paraId="61682F63" w14:textId="77777777" w:rsidR="00EC0934" w:rsidRPr="001408D5" w:rsidRDefault="00000000" w:rsidP="00EC0934">
            <w:pPr>
              <w:spacing w:before="60" w:after="0"/>
              <w:contextualSpacing/>
              <w:rPr>
                <w:sz w:val="22"/>
              </w:rPr>
            </w:pPr>
            <w:sdt>
              <w:sdtPr>
                <w:rPr>
                  <w:sz w:val="22"/>
                </w:rPr>
                <w:id w:val="1284299418"/>
                <w14:checkbox>
                  <w14:checked w14:val="1"/>
                  <w14:checkedState w14:val="2612" w14:font="MS Gothic"/>
                  <w14:uncheckedState w14:val="2610" w14:font="MS Gothic"/>
                </w14:checkbox>
              </w:sdtPr>
              <w:sdtContent>
                <w:r w:rsidR="00EC0934" w:rsidRPr="001408D5">
                  <w:rPr>
                    <w:rFonts w:ascii="MS Gothic" w:eastAsia="MS Gothic" w:hAnsi="MS Gothic" w:hint="eastAsia"/>
                    <w:sz w:val="22"/>
                  </w:rPr>
                  <w:t>☒</w:t>
                </w:r>
              </w:sdtContent>
            </w:sdt>
            <w:r w:rsidR="00EC0934" w:rsidRPr="001408D5">
              <w:rPr>
                <w:sz w:val="22"/>
              </w:rPr>
              <w:t xml:space="preserve"> Not Met</w:t>
            </w:r>
          </w:p>
          <w:p w14:paraId="74EEC50C" w14:textId="77777777" w:rsidR="00EC0934" w:rsidRPr="001408D5" w:rsidRDefault="00000000" w:rsidP="00EC0934">
            <w:pPr>
              <w:spacing w:before="60" w:after="0"/>
              <w:contextualSpacing/>
              <w:rPr>
                <w:sz w:val="22"/>
              </w:rPr>
            </w:pPr>
            <w:sdt>
              <w:sdtPr>
                <w:rPr>
                  <w:sz w:val="22"/>
                </w:rPr>
                <w:id w:val="-1273393451"/>
                <w14:checkbox>
                  <w14:checked w14:val="0"/>
                  <w14:checkedState w14:val="2612" w14:font="MS Gothic"/>
                  <w14:uncheckedState w14:val="2610" w14:font="MS Gothic"/>
                </w14:checkbox>
              </w:sdtPr>
              <w:sdtContent>
                <w:r w:rsidR="00EC0934" w:rsidRPr="001408D5">
                  <w:rPr>
                    <w:rFonts w:ascii="MS Gothic" w:eastAsia="MS Gothic" w:hAnsi="MS Gothic" w:hint="eastAsia"/>
                    <w:sz w:val="22"/>
                  </w:rPr>
                  <w:t>☐</w:t>
                </w:r>
              </w:sdtContent>
            </w:sdt>
            <w:r w:rsidR="00EC0934" w:rsidRPr="001408D5">
              <w:rPr>
                <w:sz w:val="22"/>
              </w:rPr>
              <w:t xml:space="preserve"> NA</w:t>
            </w:r>
          </w:p>
          <w:p w14:paraId="7161FFBC" w14:textId="77777777" w:rsidR="00EC0934" w:rsidRPr="00903F99" w:rsidRDefault="00EC0934" w:rsidP="00EC0934">
            <w:pPr>
              <w:spacing w:before="0" w:after="0"/>
              <w:contextualSpacing/>
              <w:rPr>
                <w:sz w:val="22"/>
              </w:rPr>
            </w:pPr>
          </w:p>
        </w:tc>
      </w:tr>
      <w:tr w:rsidR="00EC0934" w:rsidRPr="00903F99" w14:paraId="2EF885FC" w14:textId="77777777" w:rsidTr="007401D6">
        <w:trPr>
          <w:trHeight w:val="374"/>
          <w:jc w:val="center"/>
        </w:trPr>
        <w:tc>
          <w:tcPr>
            <w:tcW w:w="6474" w:type="dxa"/>
            <w:gridSpan w:val="2"/>
            <w:vMerge/>
          </w:tcPr>
          <w:p w14:paraId="3467038B" w14:textId="77777777" w:rsidR="00EC0934" w:rsidRPr="00903F99" w:rsidRDefault="00EC0934" w:rsidP="00595A8D">
            <w:pPr>
              <w:pStyle w:val="HSAGNumbers"/>
              <w:numPr>
                <w:ilvl w:val="0"/>
                <w:numId w:val="16"/>
              </w:numPr>
              <w:spacing w:before="0" w:after="0"/>
              <w:contextualSpacing/>
            </w:pPr>
          </w:p>
        </w:tc>
        <w:tc>
          <w:tcPr>
            <w:tcW w:w="6116" w:type="dxa"/>
            <w:gridSpan w:val="2"/>
            <w:shd w:val="clear" w:color="auto" w:fill="FFFFFF" w:themeFill="background1"/>
          </w:tcPr>
          <w:p w14:paraId="070A66A2" w14:textId="77777777" w:rsidR="00EC0934" w:rsidRPr="001408D5" w:rsidRDefault="00EC0934" w:rsidP="00EC0934">
            <w:pPr>
              <w:pStyle w:val="HSAGTableText"/>
              <w:contextualSpacing/>
              <w:rPr>
                <w:b/>
                <w:bCs/>
              </w:rPr>
            </w:pPr>
            <w:r w:rsidRPr="001408D5">
              <w:rPr>
                <w:b/>
                <w:bCs/>
              </w:rPr>
              <w:t>Evidence as Submitted by the PIHP:</w:t>
            </w:r>
          </w:p>
          <w:p w14:paraId="350FFF56" w14:textId="77777777" w:rsidR="00EC0934" w:rsidRPr="001408D5" w:rsidRDefault="00EC0934" w:rsidP="00595A8D">
            <w:pPr>
              <w:pStyle w:val="HSAGTableText"/>
              <w:numPr>
                <w:ilvl w:val="0"/>
                <w:numId w:val="19"/>
              </w:numPr>
              <w:contextualSpacing/>
            </w:pPr>
            <w:r w:rsidRPr="001408D5">
              <w:t>Credentialing Policy and Procedure: Page 6 of PDF (4 of policy), D. Recredentialing, first sentence; Page 7 of PDF, E. Organizational Providers, 3.</w:t>
            </w:r>
          </w:p>
          <w:p w14:paraId="41C35FB5" w14:textId="77777777" w:rsidR="00EC0934" w:rsidRPr="001408D5" w:rsidRDefault="00EC0934" w:rsidP="00595A8D">
            <w:pPr>
              <w:pStyle w:val="HSAGTableText"/>
              <w:numPr>
                <w:ilvl w:val="0"/>
                <w:numId w:val="19"/>
              </w:numPr>
              <w:contextualSpacing/>
            </w:pPr>
            <w:r w:rsidRPr="001408D5">
              <w:t>FY2024_NMRE.CWN_Agreement: Page 28, E.</w:t>
            </w:r>
          </w:p>
          <w:p w14:paraId="7F3B77F2" w14:textId="77777777" w:rsidR="00EC0934" w:rsidRPr="001408D5" w:rsidRDefault="00EC0934" w:rsidP="00595A8D">
            <w:pPr>
              <w:pStyle w:val="HSAGTableText"/>
              <w:numPr>
                <w:ilvl w:val="0"/>
                <w:numId w:val="19"/>
              </w:numPr>
              <w:contextualSpacing/>
            </w:pPr>
            <w:r w:rsidRPr="001408D5">
              <w:t xml:space="preserve">2024_CMHSP_Staff_Cred </w:t>
            </w:r>
            <w:proofErr w:type="spellStart"/>
            <w:r w:rsidRPr="001408D5">
              <w:t>ReCred</w:t>
            </w:r>
            <w:proofErr w:type="spellEnd"/>
            <w:r w:rsidRPr="001408D5">
              <w:t xml:space="preserve"> Monitoring Tool: Page 5, 3</w:t>
            </w:r>
            <w:r w:rsidRPr="001408D5">
              <w:rPr>
                <w:vertAlign w:val="superscript"/>
              </w:rPr>
              <w:t>rd</w:t>
            </w:r>
            <w:r w:rsidRPr="001408D5">
              <w:t xml:space="preserve"> row from bottom</w:t>
            </w:r>
          </w:p>
          <w:p w14:paraId="27756CE9" w14:textId="77777777" w:rsidR="00EC0934" w:rsidRPr="001408D5" w:rsidRDefault="00EC0934" w:rsidP="00595A8D">
            <w:pPr>
              <w:pStyle w:val="HSAGTableText"/>
              <w:numPr>
                <w:ilvl w:val="0"/>
                <w:numId w:val="19"/>
              </w:numPr>
              <w:contextualSpacing/>
            </w:pPr>
            <w:r w:rsidRPr="001408D5">
              <w:t>2024_CMHSP_Delegated_Managed_Care_</w:t>
            </w:r>
            <w:proofErr w:type="gramStart"/>
            <w:r w:rsidRPr="001408D5">
              <w:t>Tool:Row</w:t>
            </w:r>
            <w:proofErr w:type="gramEnd"/>
            <w:r w:rsidRPr="001408D5">
              <w:t xml:space="preserve"> 394, Row 348/349</w:t>
            </w:r>
          </w:p>
          <w:p w14:paraId="5EDFF2FF" w14:textId="77777777" w:rsidR="00EC0934" w:rsidRPr="001408D5" w:rsidRDefault="00EC0934" w:rsidP="00595A8D">
            <w:pPr>
              <w:pStyle w:val="HSAGTableText"/>
              <w:numPr>
                <w:ilvl w:val="0"/>
                <w:numId w:val="19"/>
              </w:numPr>
              <w:contextualSpacing/>
            </w:pPr>
            <w:r w:rsidRPr="001408D5">
              <w:t>Wellvance Practitioner Credentialing Log</w:t>
            </w:r>
          </w:p>
          <w:p w14:paraId="5079FDFF" w14:textId="77777777" w:rsidR="00EC0934" w:rsidRPr="001408D5" w:rsidRDefault="00EC0934" w:rsidP="00595A8D">
            <w:pPr>
              <w:pStyle w:val="HSAGTableText"/>
              <w:numPr>
                <w:ilvl w:val="0"/>
                <w:numId w:val="19"/>
              </w:numPr>
              <w:contextualSpacing/>
            </w:pPr>
            <w:r w:rsidRPr="001408D5">
              <w:t>Wellvance Organizations Credentialing checklist</w:t>
            </w:r>
          </w:p>
          <w:p w14:paraId="505D5602" w14:textId="77777777" w:rsidR="00EC0934" w:rsidRDefault="00EC0934" w:rsidP="00595A8D">
            <w:pPr>
              <w:pStyle w:val="HSAGTableText"/>
              <w:numPr>
                <w:ilvl w:val="0"/>
                <w:numId w:val="19"/>
              </w:numPr>
              <w:contextualSpacing/>
            </w:pPr>
            <w:r w:rsidRPr="001408D5">
              <w:t>NCCMH Organizational Provider checklist</w:t>
            </w:r>
          </w:p>
          <w:p w14:paraId="6EFFBA05" w14:textId="45F48349" w:rsidR="00EC0934" w:rsidRPr="00903F99" w:rsidRDefault="00EC0934" w:rsidP="00595A8D">
            <w:pPr>
              <w:pStyle w:val="HSAGTableText"/>
              <w:numPr>
                <w:ilvl w:val="0"/>
                <w:numId w:val="19"/>
              </w:numPr>
              <w:contextualSpacing/>
            </w:pPr>
            <w:r w:rsidRPr="001408D5">
              <w:t>NCCMH Practitioner Application date tracking</w:t>
            </w:r>
          </w:p>
        </w:tc>
        <w:tc>
          <w:tcPr>
            <w:tcW w:w="1421" w:type="dxa"/>
            <w:vMerge/>
            <w:shd w:val="clear" w:color="auto" w:fill="FFFFFF" w:themeFill="background1"/>
          </w:tcPr>
          <w:p w14:paraId="63903971" w14:textId="77777777" w:rsidR="00EC0934" w:rsidRPr="00903F99" w:rsidRDefault="00EC0934" w:rsidP="00EC0934">
            <w:pPr>
              <w:spacing w:before="0" w:after="0"/>
              <w:contextualSpacing/>
              <w:rPr>
                <w:sz w:val="22"/>
              </w:rPr>
            </w:pPr>
          </w:p>
        </w:tc>
      </w:tr>
      <w:tr w:rsidR="00EC0934" w:rsidRPr="00903F99" w14:paraId="12B16516" w14:textId="77777777" w:rsidTr="004E3199">
        <w:trPr>
          <w:trHeight w:val="374"/>
          <w:jc w:val="center"/>
        </w:trPr>
        <w:tc>
          <w:tcPr>
            <w:tcW w:w="14011" w:type="dxa"/>
            <w:gridSpan w:val="5"/>
            <w:vAlign w:val="center"/>
          </w:tcPr>
          <w:p w14:paraId="0F38D789" w14:textId="79CF2983" w:rsidR="00EC0934" w:rsidRPr="00903F99" w:rsidRDefault="00EC0934" w:rsidP="00EC0934">
            <w:pPr>
              <w:pStyle w:val="HSAGTableText"/>
              <w:spacing w:before="0" w:after="0"/>
            </w:pPr>
            <w:r w:rsidRPr="001408D5">
              <w:rPr>
                <w:b/>
              </w:rPr>
              <w:t>PIHP Description of Process:</w:t>
            </w:r>
            <w:r w:rsidRPr="001408D5">
              <w:t xml:space="preserve"> The NMRE’s policies and procedures require timeliness standards as defined in the MDHHS Credentialing and Recredentialing processes. The NMRE monitors organizations and case samples of our CMHSPs during annual monitoring. We also train our CMH contractors and lead credentialing staff on this element, both in roundtable discussions in 2023, </w:t>
            </w:r>
            <w:proofErr w:type="gramStart"/>
            <w:r w:rsidRPr="001408D5">
              <w:t>and also</w:t>
            </w:r>
            <w:proofErr w:type="gramEnd"/>
            <w:r w:rsidRPr="001408D5">
              <w:t xml:space="preserve"> in </w:t>
            </w:r>
            <w:proofErr w:type="gramStart"/>
            <w:r w:rsidRPr="001408D5">
              <w:t>a training</w:t>
            </w:r>
            <w:proofErr w:type="gramEnd"/>
            <w:r w:rsidRPr="001408D5">
              <w:t xml:space="preserve"> in January 2025. The NMRE uses the MDHHS credentialing report as an indicator of CMHSP and PIHP compliance. The NMRE and CMHSPs use a variety of tracking methods; a separate log </w:t>
            </w:r>
            <w:r w:rsidRPr="001408D5">
              <w:lastRenderedPageBreak/>
              <w:t>is in use as evidenced in the samples provided; examples include Ausable Valley (Wellvance</w:t>
            </w:r>
            <w:proofErr w:type="gramStart"/>
            <w:r w:rsidRPr="001408D5">
              <w:t>)</w:t>
            </w:r>
            <w:proofErr w:type="gramEnd"/>
            <w:r w:rsidRPr="001408D5">
              <w:t xml:space="preserve"> and North Country CMHs logs are good examples of this to track materials and dates for their organizational providers. The CMHSPs also use tracking loge for each individual application, </w:t>
            </w:r>
            <w:proofErr w:type="gramStart"/>
            <w:r w:rsidRPr="001408D5">
              <w:t>example</w:t>
            </w:r>
            <w:proofErr w:type="gramEnd"/>
            <w:r w:rsidRPr="001408D5">
              <w:t xml:space="preserve"> included (from case sample) is [redacted] </w:t>
            </w:r>
            <w:proofErr w:type="spellStart"/>
            <w:r w:rsidRPr="001408D5">
              <w:t>facesheet</w:t>
            </w:r>
            <w:proofErr w:type="spellEnd"/>
            <w:r w:rsidRPr="001408D5">
              <w:t xml:space="preserve"> for the application, with dates for when documents are received.</w:t>
            </w:r>
          </w:p>
        </w:tc>
      </w:tr>
      <w:tr w:rsidR="00EC0934" w:rsidRPr="0026679F" w14:paraId="4E34ADB0" w14:textId="77777777" w:rsidTr="004E3199">
        <w:trPr>
          <w:trHeight w:val="374"/>
          <w:jc w:val="center"/>
        </w:trPr>
        <w:tc>
          <w:tcPr>
            <w:tcW w:w="14011" w:type="dxa"/>
            <w:gridSpan w:val="5"/>
            <w:tcBorders>
              <w:bottom w:val="single" w:sz="4" w:space="0" w:color="000000"/>
            </w:tcBorders>
            <w:vAlign w:val="center"/>
          </w:tcPr>
          <w:p w14:paraId="3A7FA6F4" w14:textId="1B786CA5" w:rsidR="00EC0934" w:rsidRPr="0026679F" w:rsidRDefault="00EC0934" w:rsidP="00EC0934">
            <w:pPr>
              <w:pStyle w:val="HSAGTableText"/>
              <w:spacing w:before="0"/>
            </w:pPr>
            <w:r w:rsidRPr="001408D5">
              <w:rPr>
                <w:b/>
              </w:rPr>
              <w:lastRenderedPageBreak/>
              <w:t>HSAG Findings:</w:t>
            </w:r>
            <w:r w:rsidRPr="001408D5">
              <w:t xml:space="preserve"> </w:t>
            </w:r>
            <w:r w:rsidRPr="00D377F5">
              <w:rPr>
                <w:highlight w:val="yellow"/>
              </w:rPr>
              <w:t xml:space="preserve">For one organizational case file, recredentialing did not occur within the required two-year time frame that was in effect during the </w:t>
            </w:r>
            <w:proofErr w:type="gramStart"/>
            <w:r w:rsidRPr="00D377F5">
              <w:rPr>
                <w:highlight w:val="yellow"/>
              </w:rPr>
              <w:t>time period</w:t>
            </w:r>
            <w:proofErr w:type="gramEnd"/>
            <w:r w:rsidRPr="00D377F5">
              <w:rPr>
                <w:highlight w:val="yellow"/>
              </w:rPr>
              <w:t xml:space="preserve"> under review.</w:t>
            </w:r>
          </w:p>
        </w:tc>
      </w:tr>
      <w:tr w:rsidR="00EC0934" w:rsidRPr="0026679F" w14:paraId="2C95A432" w14:textId="77777777" w:rsidTr="004E3199">
        <w:trPr>
          <w:trHeight w:val="374"/>
          <w:jc w:val="center"/>
        </w:trPr>
        <w:tc>
          <w:tcPr>
            <w:tcW w:w="14011" w:type="dxa"/>
            <w:gridSpan w:val="5"/>
            <w:tcBorders>
              <w:top w:val="single" w:sz="4" w:space="0" w:color="000000"/>
              <w:bottom w:val="single" w:sz="4" w:space="0" w:color="auto"/>
            </w:tcBorders>
            <w:vAlign w:val="center"/>
          </w:tcPr>
          <w:p w14:paraId="55F82AFA" w14:textId="75ECB8B3" w:rsidR="00EC0934" w:rsidRPr="0026679F" w:rsidRDefault="00EC0934" w:rsidP="00EC0934">
            <w:pPr>
              <w:pStyle w:val="HSAGTableText"/>
              <w:rPr>
                <w:b/>
              </w:rPr>
            </w:pPr>
            <w:r w:rsidRPr="001408D5">
              <w:rPr>
                <w:b/>
              </w:rPr>
              <w:t>Required Actions:</w:t>
            </w:r>
            <w:r w:rsidRPr="001408D5">
              <w:t xml:space="preserve"> </w:t>
            </w:r>
            <w:r w:rsidRPr="00D377F5">
              <w:rPr>
                <w:highlight w:val="yellow"/>
              </w:rPr>
              <w:t>The PIHP must ensure that the credentialing process is completed within the required time frame for all providers.</w:t>
            </w:r>
          </w:p>
        </w:tc>
      </w:tr>
      <w:tr w:rsidR="00EC0934" w:rsidRPr="00D16F05" w14:paraId="49FF42FB" w14:textId="77777777" w:rsidTr="007401D6">
        <w:tblPrEx>
          <w:tblCellMar>
            <w:left w:w="108" w:type="dxa"/>
            <w:right w:w="108" w:type="dxa"/>
          </w:tblCellMar>
        </w:tblPrEx>
        <w:trPr>
          <w:gridBefore w:val="1"/>
          <w:wBefore w:w="8" w:type="dxa"/>
          <w:trHeight w:val="374"/>
          <w:jc w:val="center"/>
        </w:trPr>
        <w:tc>
          <w:tcPr>
            <w:tcW w:w="14003" w:type="dxa"/>
            <w:gridSpan w:val="4"/>
            <w:tcBorders>
              <w:top w:val="single" w:sz="4" w:space="0" w:color="auto"/>
              <w:bottom w:val="single" w:sz="4" w:space="0" w:color="000000" w:themeColor="text1"/>
            </w:tcBorders>
            <w:shd w:val="clear" w:color="auto" w:fill="F79548" w:themeFill="accent4"/>
          </w:tcPr>
          <w:p w14:paraId="03C8D0CF" w14:textId="77777777" w:rsidR="00EC0934" w:rsidRPr="00D16F05" w:rsidRDefault="00EC0934" w:rsidP="00EC0934">
            <w:pPr>
              <w:pStyle w:val="HSAGTableText"/>
              <w:keepNext/>
              <w:contextualSpacing/>
              <w:rPr>
                <w:b/>
              </w:rPr>
            </w:pPr>
            <w:r>
              <w:rPr>
                <w:b/>
              </w:rPr>
              <w:t>PIHP Corrective Action Plan</w:t>
            </w:r>
          </w:p>
        </w:tc>
      </w:tr>
      <w:tr w:rsidR="00DA7694" w:rsidRPr="00984D92" w14:paraId="4517E604" w14:textId="77777777" w:rsidTr="007401D6">
        <w:tblPrEx>
          <w:tblCellMar>
            <w:left w:w="108" w:type="dxa"/>
            <w:right w:w="108" w:type="dxa"/>
          </w:tblCellMar>
        </w:tblPrEx>
        <w:trPr>
          <w:gridBefore w:val="1"/>
          <w:wBefore w:w="8" w:type="dxa"/>
          <w:trHeight w:val="374"/>
          <w:jc w:val="center"/>
        </w:trPr>
        <w:tc>
          <w:tcPr>
            <w:tcW w:w="14003" w:type="dxa"/>
            <w:gridSpan w:val="4"/>
            <w:tcBorders>
              <w:top w:val="single" w:sz="4" w:space="0" w:color="000000"/>
              <w:bottom w:val="single" w:sz="4" w:space="0" w:color="000000" w:themeColor="text1"/>
            </w:tcBorders>
          </w:tcPr>
          <w:p w14:paraId="60B97059" w14:textId="32E8DA97" w:rsidR="00DA7694" w:rsidRPr="00DA7694" w:rsidRDefault="00DA7694" w:rsidP="00DA7694">
            <w:pPr>
              <w:pStyle w:val="HSAGTableText"/>
              <w:contextualSpacing/>
              <w:rPr>
                <w:bCs/>
              </w:rPr>
            </w:pPr>
            <w:r w:rsidRPr="00DA7694">
              <w:rPr>
                <w:b/>
              </w:rPr>
              <w:t>Root Cause Analysis:</w:t>
            </w:r>
            <w:r w:rsidRPr="00DA7694">
              <w:rPr>
                <w:bCs/>
              </w:rPr>
              <w:t xml:space="preserve"> This occurred during a period of staff turnover that resulted in the credentialing period going over the MDHHS timeline.</w:t>
            </w:r>
          </w:p>
        </w:tc>
      </w:tr>
      <w:tr w:rsidR="00DA7694" w:rsidRPr="00FC2C0F" w14:paraId="6C5C4EE4" w14:textId="77777777" w:rsidTr="007401D6">
        <w:tblPrEx>
          <w:tblCellMar>
            <w:left w:w="108" w:type="dxa"/>
            <w:right w:w="108" w:type="dxa"/>
          </w:tblCellMar>
        </w:tblPrEx>
        <w:trPr>
          <w:gridBefore w:val="1"/>
          <w:wBefore w:w="8" w:type="dxa"/>
          <w:trHeight w:val="374"/>
          <w:jc w:val="center"/>
        </w:trPr>
        <w:tc>
          <w:tcPr>
            <w:tcW w:w="14003" w:type="dxa"/>
            <w:gridSpan w:val="4"/>
            <w:tcBorders>
              <w:top w:val="single" w:sz="4" w:space="0" w:color="000000"/>
              <w:bottom w:val="single" w:sz="4" w:space="0" w:color="000000" w:themeColor="text1"/>
            </w:tcBorders>
          </w:tcPr>
          <w:p w14:paraId="40DFFF92" w14:textId="43A11230" w:rsidR="00DA7694" w:rsidRPr="00FC2C0F" w:rsidRDefault="00DA7694" w:rsidP="00DA7694">
            <w:pPr>
              <w:pStyle w:val="HSAGTableText"/>
              <w:contextualSpacing/>
              <w:rPr>
                <w:bCs/>
              </w:rPr>
            </w:pPr>
            <w:r>
              <w:rPr>
                <w:b/>
              </w:rPr>
              <w:t>PIHP Remediation Plan</w:t>
            </w:r>
            <w:r w:rsidRPr="00B30934">
              <w:rPr>
                <w:b/>
              </w:rPr>
              <w:t>:</w:t>
            </w:r>
            <w:r>
              <w:rPr>
                <w:bCs/>
              </w:rPr>
              <w:t xml:space="preserve"> </w:t>
            </w:r>
            <w:r w:rsidRPr="00D377F5">
              <w:rPr>
                <w:bCs/>
                <w:highlight w:val="yellow"/>
              </w:rPr>
              <w:t>The NMRE will provide staff training via review of the MDHHS credentialing policy to CMHSP delegate staff of the region to ensure understanding of the policy. NMRE will conduct a review of the internal processes of the CMHSPs to ensure compliance with the timelines of the MDHHS.</w:t>
            </w:r>
          </w:p>
        </w:tc>
      </w:tr>
      <w:tr w:rsidR="00DA7694" w:rsidRPr="00FC2C0F" w14:paraId="6485A58D" w14:textId="77777777" w:rsidTr="007401D6">
        <w:tblPrEx>
          <w:tblCellMar>
            <w:left w:w="108" w:type="dxa"/>
            <w:right w:w="108" w:type="dxa"/>
          </w:tblCellMar>
        </w:tblPrEx>
        <w:trPr>
          <w:gridBefore w:val="1"/>
          <w:wBefore w:w="8" w:type="dxa"/>
          <w:trHeight w:val="374"/>
          <w:jc w:val="center"/>
        </w:trPr>
        <w:tc>
          <w:tcPr>
            <w:tcW w:w="14003" w:type="dxa"/>
            <w:gridSpan w:val="4"/>
            <w:tcBorders>
              <w:top w:val="single" w:sz="4" w:space="0" w:color="000000"/>
              <w:bottom w:val="single" w:sz="4" w:space="0" w:color="000000" w:themeColor="text1"/>
            </w:tcBorders>
          </w:tcPr>
          <w:p w14:paraId="2C4B6C47" w14:textId="4B96DD9F" w:rsidR="00DA7694" w:rsidRPr="00DA7694" w:rsidRDefault="00DA7694" w:rsidP="00DA7694">
            <w:pPr>
              <w:pStyle w:val="HSAGTableText"/>
              <w:contextualSpacing/>
              <w:rPr>
                <w:bCs/>
              </w:rPr>
            </w:pPr>
            <w:r w:rsidRPr="00DA7694">
              <w:rPr>
                <w:b/>
              </w:rPr>
              <w:t>Responsible Individual(s):</w:t>
            </w:r>
            <w:r w:rsidRPr="00DA7694">
              <w:rPr>
                <w:bCs/>
              </w:rPr>
              <w:t xml:space="preserve"> </w:t>
            </w:r>
            <w:r w:rsidR="00D03F23">
              <w:rPr>
                <w:bCs/>
              </w:rPr>
              <w:t xml:space="preserve">Chris VanWagoner, </w:t>
            </w:r>
            <w:r w:rsidRPr="00DA7694">
              <w:rPr>
                <w:bCs/>
              </w:rPr>
              <w:t>Contract and Provider Network Manager</w:t>
            </w:r>
          </w:p>
        </w:tc>
      </w:tr>
      <w:tr w:rsidR="00DA7694" w:rsidRPr="00FC2C0F" w14:paraId="35070C5F" w14:textId="77777777" w:rsidTr="007401D6">
        <w:tblPrEx>
          <w:tblCellMar>
            <w:left w:w="108" w:type="dxa"/>
            <w:right w:w="108" w:type="dxa"/>
          </w:tblCellMar>
        </w:tblPrEx>
        <w:trPr>
          <w:gridBefore w:val="1"/>
          <w:wBefore w:w="8" w:type="dxa"/>
          <w:trHeight w:val="374"/>
          <w:jc w:val="center"/>
        </w:trPr>
        <w:tc>
          <w:tcPr>
            <w:tcW w:w="14003" w:type="dxa"/>
            <w:gridSpan w:val="4"/>
            <w:tcBorders>
              <w:top w:val="single" w:sz="4" w:space="0" w:color="000000"/>
              <w:bottom w:val="single" w:sz="4" w:space="0" w:color="auto"/>
            </w:tcBorders>
          </w:tcPr>
          <w:p w14:paraId="762CF02E" w14:textId="5F5304E6" w:rsidR="00DA7694" w:rsidRPr="00DA7694" w:rsidRDefault="00DA7694" w:rsidP="00DA7694">
            <w:pPr>
              <w:pStyle w:val="HSAGTableText"/>
              <w:contextualSpacing/>
              <w:rPr>
                <w:bCs/>
              </w:rPr>
            </w:pPr>
            <w:r w:rsidRPr="00DA7694">
              <w:rPr>
                <w:b/>
              </w:rPr>
              <w:t>Timeline:</w:t>
            </w:r>
            <w:r w:rsidRPr="00DA7694">
              <w:rPr>
                <w:bCs/>
              </w:rPr>
              <w:t xml:space="preserve"> </w:t>
            </w:r>
            <w:r w:rsidRPr="00D377F5">
              <w:rPr>
                <w:bCs/>
                <w:highlight w:val="yellow"/>
              </w:rPr>
              <w:t>Commence 10-30-25 to be completed 4-1-2026</w:t>
            </w:r>
          </w:p>
        </w:tc>
      </w:tr>
      <w:tr w:rsidR="00EC0934" w14:paraId="126935AD" w14:textId="77777777" w:rsidTr="007401D6">
        <w:tblPrEx>
          <w:tblCellMar>
            <w:left w:w="108" w:type="dxa"/>
            <w:right w:w="108" w:type="dxa"/>
          </w:tblCellMar>
        </w:tblPrEx>
        <w:trPr>
          <w:gridBefore w:val="1"/>
          <w:wBefore w:w="8" w:type="dxa"/>
          <w:trHeight w:val="374"/>
          <w:jc w:val="center"/>
        </w:trPr>
        <w:tc>
          <w:tcPr>
            <w:tcW w:w="10423" w:type="dxa"/>
            <w:gridSpan w:val="2"/>
            <w:tcBorders>
              <w:top w:val="single" w:sz="4" w:space="0" w:color="auto"/>
              <w:bottom w:val="single" w:sz="4" w:space="0" w:color="auto"/>
            </w:tcBorders>
            <w:shd w:val="clear" w:color="auto" w:fill="F2F2F2" w:themeFill="background1" w:themeFillShade="F2"/>
          </w:tcPr>
          <w:p w14:paraId="6A72757F" w14:textId="4ABC9DBB" w:rsidR="00EC0934" w:rsidRPr="00FC2C0F" w:rsidRDefault="00EC0934" w:rsidP="00EC0934">
            <w:pPr>
              <w:pStyle w:val="HSAGTableText"/>
              <w:contextualSpacing/>
              <w:rPr>
                <w:bCs/>
              </w:rPr>
            </w:pPr>
            <w:r>
              <w:rPr>
                <w:b/>
              </w:rPr>
              <w:t>MDHHS/HSAG Response:</w:t>
            </w:r>
            <w:r>
              <w:rPr>
                <w:bCs/>
              </w:rPr>
              <w:t xml:space="preserve"> </w:t>
            </w:r>
            <w:r w:rsidR="00367DE2" w:rsidRPr="00367DE2">
              <w:rPr>
                <w:bCs/>
              </w:rPr>
              <w:t xml:space="preserve">The PIHP’s remediation plan is sufficient to ensure compliance with the requirements for this program area. While no additional information is required to be submitted at this time, the PIHP must proceed with </w:t>
            </w:r>
            <w:proofErr w:type="gramStart"/>
            <w:r w:rsidR="00367DE2" w:rsidRPr="00367DE2">
              <w:rPr>
                <w:bCs/>
              </w:rPr>
              <w:t>timely</w:t>
            </w:r>
            <w:proofErr w:type="gramEnd"/>
            <w:r w:rsidR="00367DE2" w:rsidRPr="00367DE2">
              <w:rPr>
                <w:bCs/>
              </w:rPr>
              <w:t xml:space="preserve"> implementation of its action plans. Please note, an </w:t>
            </w:r>
            <w:r w:rsidR="00367DE2" w:rsidRPr="00367DE2">
              <w:rPr>
                <w:bCs/>
                <w:i/>
                <w:iCs/>
              </w:rPr>
              <w:t>Accepted</w:t>
            </w:r>
            <w:r w:rsidR="00367DE2" w:rsidRPr="00367DE2">
              <w:rPr>
                <w:bCs/>
              </w:rPr>
              <w:t xml:space="preserve"> designation is not a guarantee of future compliance. Implementation of the PIHP’s action plans and demonstration of compliance will be assessed during future compliance review activities.</w:t>
            </w:r>
          </w:p>
        </w:tc>
        <w:tc>
          <w:tcPr>
            <w:tcW w:w="3580" w:type="dxa"/>
            <w:gridSpan w:val="2"/>
            <w:tcBorders>
              <w:top w:val="single" w:sz="4" w:space="0" w:color="auto"/>
              <w:bottom w:val="single" w:sz="4" w:space="0" w:color="auto"/>
            </w:tcBorders>
            <w:shd w:val="clear" w:color="auto" w:fill="F2F2F2" w:themeFill="background1" w:themeFillShade="F2"/>
          </w:tcPr>
          <w:p w14:paraId="441272EF" w14:textId="02929841" w:rsidR="00EC0934" w:rsidRPr="00C123EE" w:rsidRDefault="00000000" w:rsidP="00EC0934">
            <w:pPr>
              <w:pStyle w:val="HSAGTableText"/>
              <w:contextualSpacing/>
              <w:rPr>
                <w:bCs/>
              </w:rPr>
            </w:pPr>
            <w:sdt>
              <w:sdtPr>
                <w:rPr>
                  <w:bCs/>
                </w:rPr>
                <w:id w:val="1224564732"/>
                <w14:checkbox>
                  <w14:checked w14:val="1"/>
                  <w14:checkedState w14:val="2612" w14:font="MS Gothic"/>
                  <w14:uncheckedState w14:val="2610" w14:font="MS Gothic"/>
                </w14:checkbox>
              </w:sdtPr>
              <w:sdtContent>
                <w:r w:rsidR="00367DE2">
                  <w:rPr>
                    <w:rFonts w:ascii="MS Gothic" w:eastAsia="MS Gothic" w:hAnsi="MS Gothic" w:hint="eastAsia"/>
                    <w:bCs/>
                  </w:rPr>
                  <w:t>☒</w:t>
                </w:r>
              </w:sdtContent>
            </w:sdt>
            <w:r w:rsidR="00EC0934" w:rsidRPr="00C123EE">
              <w:rPr>
                <w:bCs/>
              </w:rPr>
              <w:t xml:space="preserve"> Accepted</w:t>
            </w:r>
          </w:p>
          <w:p w14:paraId="12D026F3" w14:textId="77777777" w:rsidR="00EC0934" w:rsidRPr="00C123EE" w:rsidRDefault="00000000" w:rsidP="00EC0934">
            <w:pPr>
              <w:pStyle w:val="HSAGTableText"/>
              <w:contextualSpacing/>
              <w:rPr>
                <w:bCs/>
              </w:rPr>
            </w:pPr>
            <w:sdt>
              <w:sdtPr>
                <w:rPr>
                  <w:bCs/>
                </w:rPr>
                <w:id w:val="-1821179054"/>
                <w14:checkbox>
                  <w14:checked w14:val="0"/>
                  <w14:checkedState w14:val="2612" w14:font="MS Gothic"/>
                  <w14:uncheckedState w14:val="2610" w14:font="MS Gothic"/>
                </w14:checkbox>
              </w:sdtPr>
              <w:sdtContent>
                <w:r w:rsidR="00EC0934" w:rsidRPr="00C123EE">
                  <w:rPr>
                    <w:rFonts w:ascii="MS Gothic" w:eastAsia="MS Gothic" w:hAnsi="MS Gothic" w:hint="eastAsia"/>
                    <w:bCs/>
                  </w:rPr>
                  <w:t>☐</w:t>
                </w:r>
              </w:sdtContent>
            </w:sdt>
            <w:r w:rsidR="00EC0934" w:rsidRPr="00C123EE">
              <w:rPr>
                <w:bCs/>
              </w:rPr>
              <w:t xml:space="preserve"> Accepted </w:t>
            </w:r>
            <w:r w:rsidR="00EC0934">
              <w:rPr>
                <w:bCs/>
              </w:rPr>
              <w:t>W</w:t>
            </w:r>
            <w:r w:rsidR="00EC0934" w:rsidRPr="00C123EE">
              <w:rPr>
                <w:bCs/>
              </w:rPr>
              <w:t>ith Recommendations</w:t>
            </w:r>
          </w:p>
          <w:p w14:paraId="5672EFE0" w14:textId="77777777" w:rsidR="00EC0934" w:rsidRDefault="00000000" w:rsidP="00EC0934">
            <w:pPr>
              <w:pStyle w:val="HSAGTableText"/>
              <w:contextualSpacing/>
              <w:rPr>
                <w:b/>
              </w:rPr>
            </w:pPr>
            <w:sdt>
              <w:sdtPr>
                <w:rPr>
                  <w:bCs/>
                </w:rPr>
                <w:id w:val="-1244341856"/>
                <w14:checkbox>
                  <w14:checked w14:val="0"/>
                  <w14:checkedState w14:val="2612" w14:font="MS Gothic"/>
                  <w14:uncheckedState w14:val="2610" w14:font="MS Gothic"/>
                </w14:checkbox>
              </w:sdtPr>
              <w:sdtContent>
                <w:r w:rsidR="00EC0934" w:rsidRPr="00C123EE">
                  <w:rPr>
                    <w:rFonts w:ascii="MS Gothic" w:eastAsia="MS Gothic" w:hAnsi="MS Gothic" w:hint="eastAsia"/>
                    <w:bCs/>
                  </w:rPr>
                  <w:t>☐</w:t>
                </w:r>
              </w:sdtContent>
            </w:sdt>
            <w:r w:rsidR="00EC0934" w:rsidRPr="00C123EE">
              <w:rPr>
                <w:bCs/>
              </w:rPr>
              <w:t xml:space="preserve"> Not Accepted</w:t>
            </w:r>
          </w:p>
        </w:tc>
      </w:tr>
    </w:tbl>
    <w:p w14:paraId="1E553922" w14:textId="6F769FC9" w:rsidR="0065503C" w:rsidRPr="00916120" w:rsidRDefault="00277A95" w:rsidP="0065503C">
      <w:pPr>
        <w:pStyle w:val="Heading2"/>
        <w:pageBreakBefore/>
        <w:rPr>
          <w:sz w:val="28"/>
        </w:rPr>
      </w:pPr>
      <w:r w:rsidRPr="001408D5">
        <w:rPr>
          <w:sz w:val="28"/>
        </w:rPr>
        <w:lastRenderedPageBreak/>
        <w:t>Standard VIII—Confidentiality</w:t>
      </w:r>
    </w:p>
    <w:tbl>
      <w:tblPr>
        <w:tblW w:w="14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
        <w:gridCol w:w="6738"/>
        <w:gridCol w:w="3687"/>
        <w:gridCol w:w="2153"/>
        <w:gridCol w:w="1426"/>
      </w:tblGrid>
      <w:tr w:rsidR="0065503C" w:rsidRPr="00903F99" w14:paraId="052A3D88" w14:textId="77777777" w:rsidTr="004E3199">
        <w:trPr>
          <w:trHeight w:val="374"/>
          <w:tblHeader/>
          <w:jc w:val="center"/>
        </w:trPr>
        <w:tc>
          <w:tcPr>
            <w:tcW w:w="14011" w:type="dxa"/>
            <w:gridSpan w:val="5"/>
            <w:shd w:val="clear" w:color="auto" w:fill="00549E"/>
            <w:vAlign w:val="center"/>
            <w:hideMark/>
          </w:tcPr>
          <w:p w14:paraId="7D501B0A" w14:textId="11009F4A" w:rsidR="0065503C" w:rsidRPr="00903F99" w:rsidRDefault="00277A95" w:rsidP="004E3199">
            <w:pPr>
              <w:pStyle w:val="HSAGTableHeading"/>
              <w:spacing w:before="0" w:after="0"/>
              <w:contextualSpacing/>
            </w:pPr>
            <w:r w:rsidRPr="001408D5">
              <w:t>Standard VIII—Confidentiality</w:t>
            </w:r>
          </w:p>
        </w:tc>
      </w:tr>
      <w:tr w:rsidR="0065503C" w:rsidRPr="0026679F" w14:paraId="3004EDA0" w14:textId="77777777" w:rsidTr="00B96827">
        <w:trPr>
          <w:trHeight w:val="374"/>
          <w:tblHeader/>
          <w:jc w:val="center"/>
        </w:trPr>
        <w:tc>
          <w:tcPr>
            <w:tcW w:w="6745" w:type="dxa"/>
            <w:gridSpan w:val="2"/>
            <w:shd w:val="clear" w:color="auto" w:fill="DFECF7"/>
            <w:vAlign w:val="center"/>
            <w:hideMark/>
          </w:tcPr>
          <w:p w14:paraId="40874E5E" w14:textId="77777777" w:rsidR="0065503C" w:rsidRPr="0026679F" w:rsidRDefault="0065503C" w:rsidP="004E3199">
            <w:pPr>
              <w:pStyle w:val="HSAGTableHeading"/>
              <w:rPr>
                <w:color w:val="auto"/>
              </w:rPr>
            </w:pPr>
            <w:r w:rsidRPr="0026679F">
              <w:rPr>
                <w:color w:val="auto"/>
              </w:rPr>
              <w:t>Requirement</w:t>
            </w:r>
          </w:p>
        </w:tc>
        <w:tc>
          <w:tcPr>
            <w:tcW w:w="5840" w:type="dxa"/>
            <w:gridSpan w:val="2"/>
            <w:shd w:val="clear" w:color="auto" w:fill="DFECF7"/>
            <w:vAlign w:val="center"/>
            <w:hideMark/>
          </w:tcPr>
          <w:p w14:paraId="21D63C53" w14:textId="77777777" w:rsidR="0065503C" w:rsidRPr="0026679F" w:rsidRDefault="0065503C" w:rsidP="004E3199">
            <w:pPr>
              <w:pStyle w:val="HSAGTableHeading"/>
              <w:rPr>
                <w:color w:val="auto"/>
              </w:rPr>
            </w:pPr>
            <w:r w:rsidRPr="0026679F">
              <w:rPr>
                <w:color w:val="auto"/>
              </w:rPr>
              <w:t>Supporting Documentation</w:t>
            </w:r>
          </w:p>
        </w:tc>
        <w:tc>
          <w:tcPr>
            <w:tcW w:w="1426" w:type="dxa"/>
            <w:shd w:val="clear" w:color="auto" w:fill="DFECF7"/>
            <w:vAlign w:val="center"/>
            <w:hideMark/>
          </w:tcPr>
          <w:p w14:paraId="32D4FD44" w14:textId="77777777" w:rsidR="0065503C" w:rsidRPr="0026679F" w:rsidRDefault="0065503C" w:rsidP="004E3199">
            <w:pPr>
              <w:pStyle w:val="HSAGTableHeading"/>
              <w:rPr>
                <w:color w:val="auto"/>
              </w:rPr>
            </w:pPr>
            <w:r w:rsidRPr="0026679F">
              <w:rPr>
                <w:color w:val="auto"/>
              </w:rPr>
              <w:t>Score</w:t>
            </w:r>
          </w:p>
        </w:tc>
      </w:tr>
      <w:tr w:rsidR="00156F73" w:rsidRPr="00903F99" w14:paraId="05999A08" w14:textId="77777777" w:rsidTr="00B96827">
        <w:trPr>
          <w:trHeight w:val="374"/>
          <w:jc w:val="center"/>
        </w:trPr>
        <w:tc>
          <w:tcPr>
            <w:tcW w:w="6745" w:type="dxa"/>
            <w:gridSpan w:val="2"/>
            <w:vMerge w:val="restart"/>
          </w:tcPr>
          <w:p w14:paraId="777530B6" w14:textId="77777777" w:rsidR="00156F73" w:rsidRPr="001408D5" w:rsidRDefault="00156F73" w:rsidP="00156F73">
            <w:pPr>
              <w:pStyle w:val="ListNoNum"/>
              <w:rPr>
                <w:i/>
                <w:iCs/>
                <w:sz w:val="18"/>
                <w:szCs w:val="18"/>
              </w:rPr>
            </w:pPr>
            <w:r w:rsidRPr="001408D5">
              <w:rPr>
                <w:iCs/>
                <w:spacing w:val="-4"/>
              </w:rPr>
              <w:t>11.</w:t>
            </w:r>
            <w:r w:rsidRPr="001408D5">
              <w:rPr>
                <w:iCs/>
                <w:spacing w:val="-4"/>
              </w:rPr>
              <w:tab/>
            </w:r>
            <w:r w:rsidRPr="001408D5">
              <w:rPr>
                <w:iCs/>
              </w:rPr>
              <w:t xml:space="preserve">The PIHP, following the discovery of a breach of unsecured PHI, notifies </w:t>
            </w:r>
            <w:proofErr w:type="gramStart"/>
            <w:r w:rsidRPr="001408D5">
              <w:rPr>
                <w:iCs/>
              </w:rPr>
              <w:t>each individual</w:t>
            </w:r>
            <w:proofErr w:type="gramEnd"/>
            <w:r w:rsidRPr="001408D5">
              <w:rPr>
                <w:iCs/>
              </w:rPr>
              <w:t xml:space="preserve"> whose unsecured PHI has been, or is reasonably believed by the PIHP to have been accessed, acquired, used, or disclosed </w:t>
            </w:r>
            <w:proofErr w:type="gramStart"/>
            <w:r w:rsidRPr="001408D5">
              <w:rPr>
                <w:iCs/>
              </w:rPr>
              <w:t>as a result of</w:t>
            </w:r>
            <w:proofErr w:type="gramEnd"/>
            <w:r w:rsidRPr="001408D5">
              <w:rPr>
                <w:iCs/>
              </w:rPr>
              <w:t xml:space="preserve"> such breach.</w:t>
            </w:r>
          </w:p>
          <w:p w14:paraId="65DAA4C9" w14:textId="77777777" w:rsidR="00156F73" w:rsidRPr="001408D5" w:rsidRDefault="00156F73" w:rsidP="00156F73">
            <w:pPr>
              <w:pStyle w:val="ListNoNum2"/>
              <w:ind w:left="692"/>
              <w:rPr>
                <w:i/>
                <w:iCs/>
                <w:sz w:val="18"/>
                <w:szCs w:val="18"/>
              </w:rPr>
            </w:pPr>
            <w:r w:rsidRPr="001408D5">
              <w:rPr>
                <w:iCs/>
              </w:rPr>
              <w:t>a</w:t>
            </w:r>
            <w:proofErr w:type="gramStart"/>
            <w:r w:rsidRPr="001408D5">
              <w:rPr>
                <w:iCs/>
              </w:rPr>
              <w:t xml:space="preserve">. </w:t>
            </w:r>
            <w:r w:rsidRPr="001408D5">
              <w:rPr>
                <w:iCs/>
              </w:rPr>
              <w:tab/>
              <w:t>Breach</w:t>
            </w:r>
            <w:proofErr w:type="gramEnd"/>
            <w:r w:rsidRPr="001408D5">
              <w:rPr>
                <w:iCs/>
              </w:rPr>
              <w:t xml:space="preserve"> and unsecured PHI are as defined in 45 CFR §164.402.</w:t>
            </w:r>
          </w:p>
          <w:p w14:paraId="0FF097CD" w14:textId="77777777" w:rsidR="00156F73" w:rsidRPr="001408D5" w:rsidRDefault="00156F73" w:rsidP="00156F73">
            <w:pPr>
              <w:pStyle w:val="ListNoNum2"/>
              <w:ind w:left="692"/>
              <w:rPr>
                <w:i/>
                <w:iCs/>
              </w:rPr>
            </w:pPr>
            <w:r w:rsidRPr="001408D5">
              <w:rPr>
                <w:iCs/>
              </w:rPr>
              <w:t>b</w:t>
            </w:r>
            <w:proofErr w:type="gramStart"/>
            <w:r w:rsidRPr="001408D5">
              <w:rPr>
                <w:iCs/>
              </w:rPr>
              <w:t xml:space="preserve">. </w:t>
            </w:r>
            <w:r w:rsidRPr="001408D5">
              <w:rPr>
                <w:iCs/>
              </w:rPr>
              <w:tab/>
              <w:t>Except</w:t>
            </w:r>
            <w:proofErr w:type="gramEnd"/>
            <w:r w:rsidRPr="001408D5">
              <w:rPr>
                <w:iCs/>
              </w:rPr>
              <w:t xml:space="preserve"> as provided in 45 CFR §164.412, the PIHP must provide the notification without unreasonable delay and in no case later than 60 calendar days after discovery of such a breach.</w:t>
            </w:r>
          </w:p>
          <w:p w14:paraId="1BFC52B7" w14:textId="77777777" w:rsidR="00156F73" w:rsidRPr="001408D5" w:rsidRDefault="00156F73" w:rsidP="00156F73">
            <w:pPr>
              <w:pStyle w:val="HSAGTableContracttext"/>
            </w:pPr>
          </w:p>
          <w:p w14:paraId="39FDF5A5" w14:textId="77777777" w:rsidR="00156F73" w:rsidRPr="001408D5" w:rsidRDefault="00156F73" w:rsidP="00156F73">
            <w:pPr>
              <w:pStyle w:val="HSAGTableContracttext"/>
              <w:rPr>
                <w:i/>
              </w:rPr>
            </w:pPr>
            <w:r w:rsidRPr="001408D5">
              <w:t>45 CFR §164.404(a)(1)</w:t>
            </w:r>
          </w:p>
          <w:p w14:paraId="5EC59980" w14:textId="77777777" w:rsidR="00156F73" w:rsidRPr="001408D5" w:rsidRDefault="00156F73" w:rsidP="00156F73">
            <w:pPr>
              <w:pStyle w:val="HSAGTableContracttext"/>
              <w:rPr>
                <w:i/>
              </w:rPr>
            </w:pPr>
            <w:r w:rsidRPr="001408D5">
              <w:t>45 CFR §164.402</w:t>
            </w:r>
          </w:p>
          <w:p w14:paraId="5D9EA62E" w14:textId="77777777" w:rsidR="00156F73" w:rsidRPr="001408D5" w:rsidRDefault="00156F73" w:rsidP="00156F73">
            <w:pPr>
              <w:pStyle w:val="HSAGTableContracttext"/>
              <w:rPr>
                <w:i/>
              </w:rPr>
            </w:pPr>
            <w:r w:rsidRPr="001408D5">
              <w:t>45 CFR §164.404(b)</w:t>
            </w:r>
          </w:p>
          <w:p w14:paraId="481CD762" w14:textId="2A5A1505" w:rsidR="00156F73" w:rsidRPr="00903F99" w:rsidRDefault="00156F73" w:rsidP="00156F73">
            <w:pPr>
              <w:pStyle w:val="HSAGTableContracttext"/>
              <w:keepNext/>
              <w:spacing w:before="0" w:after="0"/>
              <w:ind w:left="1440"/>
              <w:contextualSpacing/>
              <w:rPr>
                <w:i/>
                <w:szCs w:val="18"/>
              </w:rPr>
            </w:pPr>
            <w:r w:rsidRPr="001408D5">
              <w:t>45 CFR §164.412</w:t>
            </w:r>
          </w:p>
        </w:tc>
        <w:tc>
          <w:tcPr>
            <w:tcW w:w="5840" w:type="dxa"/>
            <w:gridSpan w:val="2"/>
            <w:shd w:val="clear" w:color="auto" w:fill="FFFFFF" w:themeFill="background1"/>
          </w:tcPr>
          <w:p w14:paraId="5CE52047" w14:textId="77777777" w:rsidR="00156F73" w:rsidRPr="001408D5" w:rsidRDefault="00156F73" w:rsidP="00156F73">
            <w:pPr>
              <w:pStyle w:val="HSAGTableText"/>
              <w:contextualSpacing/>
              <w:rPr>
                <w:b/>
                <w:bCs/>
              </w:rPr>
            </w:pPr>
            <w:r w:rsidRPr="001408D5">
              <w:rPr>
                <w:b/>
                <w:bCs/>
              </w:rPr>
              <w:t>HSAG Required Evidence:</w:t>
            </w:r>
          </w:p>
          <w:p w14:paraId="5D143E39" w14:textId="77777777" w:rsidR="00156F73" w:rsidRPr="001408D5" w:rsidRDefault="00156F73" w:rsidP="00595A8D">
            <w:pPr>
              <w:pStyle w:val="HSAGTableText"/>
              <w:numPr>
                <w:ilvl w:val="0"/>
                <w:numId w:val="19"/>
              </w:numPr>
              <w:contextualSpacing/>
            </w:pPr>
            <w:r w:rsidRPr="001408D5">
              <w:t>Policies and procedures</w:t>
            </w:r>
          </w:p>
          <w:p w14:paraId="6CA40944" w14:textId="77777777" w:rsidR="00156F73" w:rsidRPr="001408D5" w:rsidRDefault="00156F73" w:rsidP="00595A8D">
            <w:pPr>
              <w:pStyle w:val="HSAGTableText"/>
              <w:numPr>
                <w:ilvl w:val="0"/>
                <w:numId w:val="19"/>
              </w:numPr>
              <w:contextualSpacing/>
            </w:pPr>
            <w:r w:rsidRPr="001408D5">
              <w:t>Breach notification letter template</w:t>
            </w:r>
          </w:p>
          <w:p w14:paraId="6C045981" w14:textId="77777777" w:rsidR="00156F73" w:rsidRPr="001408D5" w:rsidRDefault="00156F73" w:rsidP="00595A8D">
            <w:pPr>
              <w:pStyle w:val="HSAGTableText"/>
              <w:numPr>
                <w:ilvl w:val="0"/>
                <w:numId w:val="19"/>
              </w:numPr>
              <w:contextualSpacing/>
            </w:pPr>
            <w:r w:rsidRPr="001408D5">
              <w:t>Incident risk assessment tool</w:t>
            </w:r>
          </w:p>
          <w:p w14:paraId="7BEE35BB" w14:textId="77777777" w:rsidR="00156F73" w:rsidRDefault="00156F73" w:rsidP="00595A8D">
            <w:pPr>
              <w:pStyle w:val="HSAGTableText"/>
              <w:numPr>
                <w:ilvl w:val="0"/>
                <w:numId w:val="19"/>
              </w:numPr>
              <w:contextualSpacing/>
            </w:pPr>
            <w:r w:rsidRPr="001408D5">
              <w:t>Unauthorized disclosure/breach tracking mechanism</w:t>
            </w:r>
          </w:p>
          <w:p w14:paraId="157FB6A7" w14:textId="3BCB28EF" w:rsidR="00156F73" w:rsidRPr="00903F99" w:rsidRDefault="00156F73" w:rsidP="00595A8D">
            <w:pPr>
              <w:pStyle w:val="HSAGTableText"/>
              <w:numPr>
                <w:ilvl w:val="0"/>
                <w:numId w:val="19"/>
              </w:numPr>
              <w:contextualSpacing/>
            </w:pPr>
            <w:r w:rsidRPr="001408D5">
              <w:t xml:space="preserve">List of all breaches of unsecured PHI during the </w:t>
            </w:r>
            <w:proofErr w:type="gramStart"/>
            <w:r w:rsidRPr="001408D5">
              <w:t>time period</w:t>
            </w:r>
            <w:proofErr w:type="gramEnd"/>
            <w:r w:rsidRPr="001408D5">
              <w:t xml:space="preserve"> under review, including the date of discovery and the date of notification to members</w:t>
            </w:r>
          </w:p>
        </w:tc>
        <w:tc>
          <w:tcPr>
            <w:tcW w:w="1426" w:type="dxa"/>
            <w:vMerge w:val="restart"/>
            <w:shd w:val="clear" w:color="auto" w:fill="FFFFFF" w:themeFill="background1"/>
          </w:tcPr>
          <w:p w14:paraId="1AA0EC3B" w14:textId="77777777" w:rsidR="00156F73" w:rsidRPr="001408D5" w:rsidRDefault="00000000" w:rsidP="00156F73">
            <w:pPr>
              <w:spacing w:before="60" w:after="0"/>
              <w:contextualSpacing/>
              <w:rPr>
                <w:sz w:val="22"/>
              </w:rPr>
            </w:pPr>
            <w:sdt>
              <w:sdtPr>
                <w:rPr>
                  <w:sz w:val="22"/>
                </w:rPr>
                <w:id w:val="-1298058276"/>
                <w14:checkbox>
                  <w14:checked w14:val="0"/>
                  <w14:checkedState w14:val="2612" w14:font="MS Gothic"/>
                  <w14:uncheckedState w14:val="2610" w14:font="MS Gothic"/>
                </w14:checkbox>
              </w:sdtPr>
              <w:sdtContent>
                <w:r w:rsidR="00156F73" w:rsidRPr="001408D5">
                  <w:rPr>
                    <w:rFonts w:ascii="MS Gothic" w:eastAsia="MS Gothic" w:hAnsi="MS Gothic" w:hint="eastAsia"/>
                    <w:sz w:val="22"/>
                  </w:rPr>
                  <w:t>☐</w:t>
                </w:r>
              </w:sdtContent>
            </w:sdt>
            <w:r w:rsidR="00156F73" w:rsidRPr="001408D5">
              <w:rPr>
                <w:sz w:val="22"/>
              </w:rPr>
              <w:t xml:space="preserve"> Met</w:t>
            </w:r>
          </w:p>
          <w:p w14:paraId="2A935A05" w14:textId="77777777" w:rsidR="00156F73" w:rsidRPr="001408D5" w:rsidRDefault="00000000" w:rsidP="00156F73">
            <w:pPr>
              <w:spacing w:before="60" w:after="0"/>
              <w:contextualSpacing/>
              <w:rPr>
                <w:sz w:val="22"/>
              </w:rPr>
            </w:pPr>
            <w:sdt>
              <w:sdtPr>
                <w:rPr>
                  <w:sz w:val="22"/>
                </w:rPr>
                <w:id w:val="-485245387"/>
                <w14:checkbox>
                  <w14:checked w14:val="1"/>
                  <w14:checkedState w14:val="2612" w14:font="MS Gothic"/>
                  <w14:uncheckedState w14:val="2610" w14:font="MS Gothic"/>
                </w14:checkbox>
              </w:sdtPr>
              <w:sdtContent>
                <w:r w:rsidR="00156F73" w:rsidRPr="001408D5">
                  <w:rPr>
                    <w:rFonts w:ascii="MS Gothic" w:eastAsia="MS Gothic" w:hAnsi="MS Gothic" w:hint="eastAsia"/>
                    <w:sz w:val="22"/>
                  </w:rPr>
                  <w:t>☒</w:t>
                </w:r>
              </w:sdtContent>
            </w:sdt>
            <w:r w:rsidR="00156F73" w:rsidRPr="001408D5">
              <w:rPr>
                <w:sz w:val="22"/>
              </w:rPr>
              <w:t xml:space="preserve"> Not Met</w:t>
            </w:r>
          </w:p>
          <w:p w14:paraId="5F8ED54B" w14:textId="71F12956" w:rsidR="00156F73" w:rsidRPr="00903F99" w:rsidRDefault="00000000" w:rsidP="00156F73">
            <w:pPr>
              <w:spacing w:before="0" w:after="0"/>
              <w:contextualSpacing/>
              <w:rPr>
                <w:sz w:val="22"/>
              </w:rPr>
            </w:pPr>
            <w:sdt>
              <w:sdtPr>
                <w:rPr>
                  <w:sz w:val="22"/>
                </w:rPr>
                <w:id w:val="1525670245"/>
                <w14:checkbox>
                  <w14:checked w14:val="0"/>
                  <w14:checkedState w14:val="2612" w14:font="MS Gothic"/>
                  <w14:uncheckedState w14:val="2610" w14:font="MS Gothic"/>
                </w14:checkbox>
              </w:sdtPr>
              <w:sdtContent>
                <w:r w:rsidR="00156F73" w:rsidRPr="001408D5">
                  <w:rPr>
                    <w:rFonts w:ascii="MS Gothic" w:eastAsia="MS Gothic" w:hAnsi="MS Gothic" w:hint="eastAsia"/>
                    <w:sz w:val="22"/>
                  </w:rPr>
                  <w:t>☐</w:t>
                </w:r>
              </w:sdtContent>
            </w:sdt>
            <w:r w:rsidR="00156F73" w:rsidRPr="001408D5">
              <w:rPr>
                <w:sz w:val="22"/>
              </w:rPr>
              <w:t xml:space="preserve"> NA</w:t>
            </w:r>
          </w:p>
        </w:tc>
      </w:tr>
      <w:tr w:rsidR="00156F73" w:rsidRPr="00903F99" w14:paraId="4A530C8E" w14:textId="77777777" w:rsidTr="00B96827">
        <w:trPr>
          <w:trHeight w:val="374"/>
          <w:jc w:val="center"/>
        </w:trPr>
        <w:tc>
          <w:tcPr>
            <w:tcW w:w="6745" w:type="dxa"/>
            <w:gridSpan w:val="2"/>
            <w:vMerge/>
          </w:tcPr>
          <w:p w14:paraId="70B6DB14" w14:textId="77777777" w:rsidR="00156F73" w:rsidRPr="00903F99" w:rsidRDefault="00156F73" w:rsidP="00595A8D">
            <w:pPr>
              <w:pStyle w:val="HSAGNumbers"/>
              <w:numPr>
                <w:ilvl w:val="0"/>
                <w:numId w:val="16"/>
              </w:numPr>
              <w:spacing w:before="0" w:after="0"/>
              <w:contextualSpacing/>
            </w:pPr>
          </w:p>
        </w:tc>
        <w:tc>
          <w:tcPr>
            <w:tcW w:w="5840" w:type="dxa"/>
            <w:gridSpan w:val="2"/>
            <w:shd w:val="clear" w:color="auto" w:fill="FFFFFF" w:themeFill="background1"/>
          </w:tcPr>
          <w:p w14:paraId="4BCBB8EF" w14:textId="77777777" w:rsidR="00156F73" w:rsidRPr="001408D5" w:rsidRDefault="00156F73" w:rsidP="00156F73">
            <w:pPr>
              <w:pStyle w:val="HSAGTableText"/>
              <w:contextualSpacing/>
              <w:rPr>
                <w:b/>
                <w:bCs/>
              </w:rPr>
            </w:pPr>
            <w:r w:rsidRPr="001408D5">
              <w:rPr>
                <w:b/>
                <w:bCs/>
              </w:rPr>
              <w:t>Evidence as Submitted by the PIHP:</w:t>
            </w:r>
          </w:p>
          <w:p w14:paraId="618289DB" w14:textId="77777777" w:rsidR="00156F73" w:rsidRPr="001408D5" w:rsidRDefault="00156F73" w:rsidP="00595A8D">
            <w:pPr>
              <w:pStyle w:val="HSAGTableText"/>
              <w:numPr>
                <w:ilvl w:val="0"/>
                <w:numId w:val="22"/>
              </w:numPr>
              <w:contextualSpacing/>
            </w:pPr>
            <w:r w:rsidRPr="001408D5">
              <w:t xml:space="preserve">S8_E11_Breach Notification </w:t>
            </w:r>
            <w:proofErr w:type="spellStart"/>
            <w:r w:rsidRPr="001408D5">
              <w:t>Policy_pages</w:t>
            </w:r>
            <w:proofErr w:type="spellEnd"/>
            <w:r w:rsidRPr="001408D5">
              <w:t xml:space="preserve"> 2_3</w:t>
            </w:r>
          </w:p>
          <w:p w14:paraId="6C6BC7F6" w14:textId="77777777" w:rsidR="00156F73" w:rsidRDefault="00156F73" w:rsidP="00595A8D">
            <w:pPr>
              <w:pStyle w:val="HSAGTableText"/>
              <w:numPr>
                <w:ilvl w:val="0"/>
                <w:numId w:val="22"/>
              </w:numPr>
              <w:contextualSpacing/>
            </w:pPr>
            <w:r w:rsidRPr="001408D5">
              <w:t xml:space="preserve">S8_E11_E13_Breach </w:t>
            </w:r>
            <w:proofErr w:type="spellStart"/>
            <w:r w:rsidRPr="001408D5">
              <w:t>Notificiation</w:t>
            </w:r>
            <w:proofErr w:type="spellEnd"/>
            <w:r w:rsidRPr="001408D5">
              <w:t xml:space="preserve"> page 9_Risk Assessment</w:t>
            </w:r>
          </w:p>
          <w:p w14:paraId="31FF749E" w14:textId="45691C34" w:rsidR="00156F73" w:rsidRPr="00903F99" w:rsidRDefault="00156F73" w:rsidP="00595A8D">
            <w:pPr>
              <w:pStyle w:val="HSAGTableText"/>
              <w:numPr>
                <w:ilvl w:val="0"/>
                <w:numId w:val="22"/>
              </w:numPr>
              <w:contextualSpacing/>
            </w:pPr>
            <w:r w:rsidRPr="001408D5">
              <w:t>S8_E11_E13_E20_Breach Tracking</w:t>
            </w:r>
          </w:p>
        </w:tc>
        <w:tc>
          <w:tcPr>
            <w:tcW w:w="1426" w:type="dxa"/>
            <w:vMerge/>
            <w:shd w:val="clear" w:color="auto" w:fill="FFFFFF" w:themeFill="background1"/>
          </w:tcPr>
          <w:p w14:paraId="3029B009" w14:textId="77777777" w:rsidR="00156F73" w:rsidRPr="00903F99" w:rsidRDefault="00156F73" w:rsidP="00156F73">
            <w:pPr>
              <w:spacing w:before="0" w:after="0"/>
              <w:contextualSpacing/>
              <w:rPr>
                <w:sz w:val="22"/>
              </w:rPr>
            </w:pPr>
          </w:p>
        </w:tc>
      </w:tr>
      <w:tr w:rsidR="00156F73" w:rsidRPr="00903F99" w14:paraId="272048C5" w14:textId="77777777" w:rsidTr="004E3199">
        <w:trPr>
          <w:trHeight w:val="374"/>
          <w:jc w:val="center"/>
        </w:trPr>
        <w:tc>
          <w:tcPr>
            <w:tcW w:w="14011" w:type="dxa"/>
            <w:gridSpan w:val="5"/>
            <w:vAlign w:val="center"/>
          </w:tcPr>
          <w:p w14:paraId="6F1581C5" w14:textId="1A8AAC63" w:rsidR="00156F73" w:rsidRPr="00903F99" w:rsidRDefault="00156F73" w:rsidP="00156F73">
            <w:pPr>
              <w:pStyle w:val="HSAGTableText"/>
              <w:spacing w:before="0" w:after="0"/>
            </w:pPr>
            <w:r w:rsidRPr="001408D5">
              <w:rPr>
                <w:b/>
              </w:rPr>
              <w:t>PIHP Description of Process:</w:t>
            </w:r>
            <w:r w:rsidRPr="001408D5">
              <w:t xml:space="preserve"> When the NMRE discovers a breach of PHI, the NMRE notifies each beneficiary who is affected or reasonably believes has been affected, the NMRE notifies the beneficiary of the breach without delay, but no later than 60 days from the breach. </w:t>
            </w:r>
          </w:p>
        </w:tc>
      </w:tr>
      <w:tr w:rsidR="00156F73" w:rsidRPr="0026679F" w14:paraId="07B7027E" w14:textId="77777777" w:rsidTr="004E3199">
        <w:trPr>
          <w:trHeight w:val="374"/>
          <w:jc w:val="center"/>
        </w:trPr>
        <w:tc>
          <w:tcPr>
            <w:tcW w:w="14011" w:type="dxa"/>
            <w:gridSpan w:val="5"/>
            <w:tcBorders>
              <w:bottom w:val="single" w:sz="4" w:space="0" w:color="000000"/>
            </w:tcBorders>
            <w:vAlign w:val="center"/>
          </w:tcPr>
          <w:p w14:paraId="550424E9" w14:textId="77777777" w:rsidR="00156F73" w:rsidRPr="001408D5" w:rsidRDefault="00156F73" w:rsidP="00156F73">
            <w:pPr>
              <w:pStyle w:val="HSAGTableText"/>
            </w:pPr>
            <w:r w:rsidRPr="001408D5">
              <w:rPr>
                <w:b/>
              </w:rPr>
              <w:t>HSAG Findings:</w:t>
            </w:r>
            <w:r w:rsidRPr="001408D5">
              <w:t xml:space="preserve"> Although the PIHP submitted its </w:t>
            </w:r>
            <w:r w:rsidRPr="001408D5">
              <w:rPr>
                <w:i/>
                <w:iCs/>
              </w:rPr>
              <w:t>Breach Notification</w:t>
            </w:r>
            <w:r w:rsidRPr="001408D5">
              <w:t xml:space="preserve"> policy outlining the requirements under this element and confirmed the CMHSPs are responsible for providing notification to its members, PIHP staff members were not able to speak to the PIHP’s processes and/or its oversight procedures in monitoring its delegates’ processes for tracking unauthorized disclosures of PHI and breaches. Further, the PIHP was not able to confirm appropriate action was taken in providing notification to affected individuals as outlined under the federal requirements. Lastly, the PIHP was unable to provide sufficient evidence for its delegates’ unauthorized disclosures of PHI and breaches that occurred during the review period (e.g., providing notification to the member, notifying the PIHP, and notifying </w:t>
            </w:r>
            <w:r>
              <w:t>the U.S. Department of Health and Human Services [</w:t>
            </w:r>
            <w:r w:rsidRPr="001408D5">
              <w:t>HHS</w:t>
            </w:r>
            <w:r>
              <w:t>]</w:t>
            </w:r>
            <w:r w:rsidRPr="001408D5">
              <w:t xml:space="preserve">). </w:t>
            </w:r>
          </w:p>
          <w:p w14:paraId="1C947E1E" w14:textId="1B08DB69" w:rsidR="00156F73" w:rsidRPr="0026679F" w:rsidRDefault="00156F73" w:rsidP="00156F73">
            <w:pPr>
              <w:pStyle w:val="HSAGTableText"/>
              <w:spacing w:before="0"/>
            </w:pPr>
            <w:r w:rsidRPr="001408D5">
              <w:rPr>
                <w:b/>
                <w:bCs/>
              </w:rPr>
              <w:t>Recommendations:</w:t>
            </w:r>
            <w:r w:rsidRPr="001408D5">
              <w:t xml:space="preserve"> HSAG strongly recommends that the PIHP develop procedures that outline all requirements related to the Breach Notification Rule and ensure that its policies and procedures are reviewed and approved regularly. Additionally, although the PIHP provided the PIHPs </w:t>
            </w:r>
            <w:r w:rsidRPr="001408D5">
              <w:rPr>
                <w:i/>
                <w:iCs/>
              </w:rPr>
              <w:t>Breach Tracking</w:t>
            </w:r>
            <w:r w:rsidRPr="001408D5">
              <w:t xml:space="preserve"> document, HSAG strongly recommends that the PIHP develop a formal process to receive and track its delegates’ unauthorized disclosures of PHI and breaches to ensure its delegates are providing notification to affected individuals</w:t>
            </w:r>
            <w:r>
              <w:t>,</w:t>
            </w:r>
            <w:r w:rsidRPr="001408D5">
              <w:t xml:space="preserve"> and the media as applicable, and notifying the PIHP as well as the Secretary as required. </w:t>
            </w:r>
          </w:p>
        </w:tc>
      </w:tr>
      <w:tr w:rsidR="00156F73" w:rsidRPr="0026679F" w14:paraId="509E477D" w14:textId="77777777" w:rsidTr="004E3199">
        <w:trPr>
          <w:trHeight w:val="374"/>
          <w:jc w:val="center"/>
        </w:trPr>
        <w:tc>
          <w:tcPr>
            <w:tcW w:w="14011" w:type="dxa"/>
            <w:gridSpan w:val="5"/>
            <w:tcBorders>
              <w:top w:val="single" w:sz="4" w:space="0" w:color="000000"/>
              <w:bottom w:val="single" w:sz="4" w:space="0" w:color="auto"/>
            </w:tcBorders>
            <w:vAlign w:val="center"/>
          </w:tcPr>
          <w:p w14:paraId="12E75B17" w14:textId="3DD5F9AD" w:rsidR="00156F73" w:rsidRPr="0026679F" w:rsidRDefault="00156F73" w:rsidP="00156F73">
            <w:pPr>
              <w:pStyle w:val="HSAGTableText"/>
              <w:rPr>
                <w:b/>
              </w:rPr>
            </w:pPr>
            <w:r w:rsidRPr="001408D5">
              <w:rPr>
                <w:b/>
              </w:rPr>
              <w:lastRenderedPageBreak/>
              <w:t>Required Actions:</w:t>
            </w:r>
            <w:r w:rsidRPr="001408D5">
              <w:t xml:space="preserve"> The PIHP, following the discovery of a breach of unsecured PHI, must notify </w:t>
            </w:r>
            <w:proofErr w:type="gramStart"/>
            <w:r w:rsidRPr="001408D5">
              <w:t>each individual</w:t>
            </w:r>
            <w:proofErr w:type="gramEnd"/>
            <w:r w:rsidRPr="001408D5">
              <w:t xml:space="preserve"> whose unsecured PHI has been, or is reasonably believed by the PIHP to have been, accessed, acquired, used, or disclosed </w:t>
            </w:r>
            <w:proofErr w:type="gramStart"/>
            <w:r w:rsidRPr="001408D5">
              <w:t>as a result of</w:t>
            </w:r>
            <w:proofErr w:type="gramEnd"/>
            <w:r w:rsidRPr="001408D5">
              <w:t xml:space="preserve"> such </w:t>
            </w:r>
            <w:r>
              <w:t xml:space="preserve">a </w:t>
            </w:r>
            <w:r w:rsidRPr="001408D5">
              <w:t>breach. Except as provided in 45 CFR §164.412, the PIHP must provide the notification without unreasonable delay and in no case later than 60 calendar days after discovery of such a breach.</w:t>
            </w:r>
          </w:p>
        </w:tc>
      </w:tr>
      <w:tr w:rsidR="00156F73" w:rsidRPr="00D16F05" w14:paraId="457547E3" w14:textId="77777777" w:rsidTr="004E3199">
        <w:tblPrEx>
          <w:tblCellMar>
            <w:left w:w="108" w:type="dxa"/>
            <w:right w:w="108" w:type="dxa"/>
          </w:tblCellMar>
        </w:tblPrEx>
        <w:trPr>
          <w:trHeight w:val="374"/>
          <w:jc w:val="center"/>
        </w:trPr>
        <w:tc>
          <w:tcPr>
            <w:tcW w:w="14011" w:type="dxa"/>
            <w:gridSpan w:val="5"/>
            <w:tcBorders>
              <w:top w:val="single" w:sz="4" w:space="0" w:color="auto"/>
              <w:bottom w:val="single" w:sz="4" w:space="0" w:color="000000" w:themeColor="text1"/>
            </w:tcBorders>
            <w:shd w:val="clear" w:color="auto" w:fill="F79548" w:themeFill="accent4"/>
          </w:tcPr>
          <w:p w14:paraId="632960D9" w14:textId="77777777" w:rsidR="00156F73" w:rsidRPr="00D16F05" w:rsidRDefault="00156F73" w:rsidP="00156F73">
            <w:pPr>
              <w:pStyle w:val="HSAGTableText"/>
              <w:keepNext/>
              <w:contextualSpacing/>
              <w:rPr>
                <w:b/>
              </w:rPr>
            </w:pPr>
            <w:r>
              <w:rPr>
                <w:b/>
              </w:rPr>
              <w:t>PIHP Corrective Action Plan</w:t>
            </w:r>
          </w:p>
        </w:tc>
      </w:tr>
      <w:tr w:rsidR="00156F73" w:rsidRPr="00984D92" w14:paraId="08509E7A"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3F53AE40" w14:textId="5417D078" w:rsidR="00156F73" w:rsidRPr="00B96827" w:rsidRDefault="00156F73" w:rsidP="00156F73">
            <w:pPr>
              <w:pStyle w:val="HSAGTableText"/>
              <w:contextualSpacing/>
              <w:rPr>
                <w:bCs/>
                <w:szCs w:val="22"/>
              </w:rPr>
            </w:pPr>
            <w:r w:rsidRPr="00B96827">
              <w:rPr>
                <w:b/>
                <w:szCs w:val="22"/>
              </w:rPr>
              <w:t>Root Cause Analysis:</w:t>
            </w:r>
            <w:r w:rsidRPr="00B96827">
              <w:rPr>
                <w:bCs/>
                <w:szCs w:val="22"/>
              </w:rPr>
              <w:t xml:space="preserve"> </w:t>
            </w:r>
            <w:r w:rsidR="00D03F23" w:rsidRPr="00B96827">
              <w:rPr>
                <w:rStyle w:val="normaltextrun"/>
                <w:color w:val="000000"/>
                <w:szCs w:val="22"/>
                <w:shd w:val="clear" w:color="auto" w:fill="FFFFFF"/>
              </w:rPr>
              <w:t>NMRE’s Breach Notification Policy and Procedure were compliant with HIPAA Breach Notification Rule requirements but did not explicitly define how NMRE oversees, tracks, and verifies that its Community Mental Health Services Program (CMHSP) delegates are providing timely and complete breach notifications. While CMHSPs are responsible for issuing notifications to affected individuals, NMRE lacked a formalized procedure describing the reporting and oversight process for delegate breaches.</w:t>
            </w:r>
          </w:p>
        </w:tc>
      </w:tr>
      <w:tr w:rsidR="00156F73" w:rsidRPr="00FC2C0F" w14:paraId="7C0B2781"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49FB7C5F" w14:textId="2C145648" w:rsidR="00D03F23" w:rsidRPr="00B96827" w:rsidRDefault="00156F73" w:rsidP="00D03F23">
            <w:pPr>
              <w:pStyle w:val="paragraph"/>
              <w:spacing w:before="0" w:beforeAutospacing="0" w:after="0" w:afterAutospacing="0"/>
              <w:textAlignment w:val="baseline"/>
              <w:rPr>
                <w:rFonts w:ascii="Segoe UI" w:hAnsi="Segoe UI" w:cs="Segoe UI"/>
                <w:color w:val="000000"/>
                <w:sz w:val="22"/>
                <w:szCs w:val="22"/>
              </w:rPr>
            </w:pPr>
            <w:r w:rsidRPr="00B96827">
              <w:rPr>
                <w:b/>
                <w:sz w:val="22"/>
                <w:szCs w:val="22"/>
              </w:rPr>
              <w:t>PIHP Remediation Plan:</w:t>
            </w:r>
            <w:r w:rsidRPr="00B96827">
              <w:rPr>
                <w:bCs/>
                <w:sz w:val="22"/>
                <w:szCs w:val="22"/>
              </w:rPr>
              <w:t xml:space="preserve"> </w:t>
            </w:r>
            <w:r w:rsidR="00D03F23" w:rsidRPr="00B96827">
              <w:rPr>
                <w:rStyle w:val="normaltextrun"/>
                <w:color w:val="000000"/>
                <w:sz w:val="22"/>
                <w:szCs w:val="22"/>
              </w:rPr>
              <w:t>NMRE has reviewed its current Breach Notification Policy and Procedure and confirmed that it fully addresses the requirements under 45 CFR §164.404 and §164.412. To strengthen oversight of delegate compliance, NMRE is adding a new section titled “N. Delegate Oversight and Reporting” to the policy.</w:t>
            </w:r>
            <w:r w:rsidR="00D03F23" w:rsidRPr="00B96827">
              <w:rPr>
                <w:rStyle w:val="eop"/>
                <w:color w:val="000000"/>
                <w:sz w:val="22"/>
                <w:szCs w:val="22"/>
              </w:rPr>
              <w:t> </w:t>
            </w:r>
          </w:p>
          <w:p w14:paraId="4FDF31C9" w14:textId="77777777" w:rsidR="00D03F23" w:rsidRPr="00B96827" w:rsidRDefault="00D03F23" w:rsidP="00D03F23">
            <w:pPr>
              <w:pStyle w:val="paragraph"/>
              <w:spacing w:before="0" w:beforeAutospacing="0" w:after="0" w:afterAutospacing="0"/>
              <w:textAlignment w:val="baseline"/>
              <w:rPr>
                <w:rFonts w:ascii="Segoe UI" w:hAnsi="Segoe UI" w:cs="Segoe UI"/>
                <w:color w:val="000000"/>
                <w:sz w:val="22"/>
                <w:szCs w:val="22"/>
              </w:rPr>
            </w:pPr>
            <w:r w:rsidRPr="00B96827">
              <w:rPr>
                <w:rStyle w:val="normaltextrun"/>
                <w:color w:val="000000"/>
                <w:sz w:val="22"/>
                <w:szCs w:val="22"/>
              </w:rPr>
              <w:t>This section establishes:</w:t>
            </w:r>
            <w:r w:rsidRPr="00B96827">
              <w:rPr>
                <w:rStyle w:val="eop"/>
                <w:color w:val="000000"/>
                <w:sz w:val="22"/>
                <w:szCs w:val="22"/>
              </w:rPr>
              <w:t> </w:t>
            </w:r>
          </w:p>
          <w:p w14:paraId="4085CDBA" w14:textId="77777777" w:rsidR="00D03F23" w:rsidRPr="00B96827" w:rsidRDefault="00D03F23" w:rsidP="00D03F23">
            <w:pPr>
              <w:pStyle w:val="paragraph"/>
              <w:spacing w:before="0" w:beforeAutospacing="0" w:after="0" w:afterAutospacing="0"/>
              <w:textAlignment w:val="baseline"/>
              <w:rPr>
                <w:rFonts w:ascii="Segoe UI" w:hAnsi="Segoe UI" w:cs="Segoe UI"/>
                <w:color w:val="000000"/>
                <w:sz w:val="22"/>
                <w:szCs w:val="22"/>
              </w:rPr>
            </w:pPr>
            <w:r w:rsidRPr="00B96827">
              <w:rPr>
                <w:rStyle w:val="normaltextrun"/>
                <w:color w:val="000000"/>
                <w:sz w:val="22"/>
                <w:szCs w:val="22"/>
              </w:rPr>
              <w:t>A one-business-day reporting requirement for all CMHSP delegates to report suspected or confirmed breaches to NMRE.</w:t>
            </w:r>
            <w:r w:rsidRPr="00B96827">
              <w:rPr>
                <w:rStyle w:val="eop"/>
                <w:color w:val="000000"/>
                <w:sz w:val="22"/>
                <w:szCs w:val="22"/>
              </w:rPr>
              <w:t> </w:t>
            </w:r>
          </w:p>
          <w:p w14:paraId="68322D03" w14:textId="77777777" w:rsidR="00D03F23" w:rsidRPr="00B96827" w:rsidRDefault="00D03F23" w:rsidP="00D03F23">
            <w:pPr>
              <w:pStyle w:val="paragraph"/>
              <w:spacing w:before="0" w:beforeAutospacing="0" w:after="0" w:afterAutospacing="0"/>
              <w:textAlignment w:val="baseline"/>
              <w:rPr>
                <w:rFonts w:ascii="Segoe UI" w:hAnsi="Segoe UI" w:cs="Segoe UI"/>
                <w:color w:val="000000"/>
                <w:sz w:val="22"/>
                <w:szCs w:val="22"/>
              </w:rPr>
            </w:pPr>
            <w:r w:rsidRPr="00B96827">
              <w:rPr>
                <w:rStyle w:val="normaltextrun"/>
                <w:color w:val="000000"/>
                <w:sz w:val="22"/>
                <w:szCs w:val="22"/>
              </w:rPr>
              <w:t>A standardized Delegate Breach Report Form and supporting documentation requirements (risk assessment, member notification letter, HHS/media notice verification).</w:t>
            </w:r>
            <w:r w:rsidRPr="00B96827">
              <w:rPr>
                <w:rStyle w:val="eop"/>
                <w:color w:val="000000"/>
                <w:sz w:val="22"/>
                <w:szCs w:val="22"/>
              </w:rPr>
              <w:t> </w:t>
            </w:r>
          </w:p>
          <w:p w14:paraId="67F5C120" w14:textId="77777777" w:rsidR="00D03F23" w:rsidRPr="00B96827" w:rsidRDefault="00D03F23" w:rsidP="00D03F23">
            <w:pPr>
              <w:pStyle w:val="paragraph"/>
              <w:spacing w:before="0" w:beforeAutospacing="0" w:after="0" w:afterAutospacing="0"/>
              <w:textAlignment w:val="baseline"/>
              <w:rPr>
                <w:rFonts w:ascii="Segoe UI" w:hAnsi="Segoe UI" w:cs="Segoe UI"/>
                <w:color w:val="000000"/>
                <w:sz w:val="22"/>
                <w:szCs w:val="22"/>
              </w:rPr>
            </w:pPr>
            <w:r w:rsidRPr="00B96827">
              <w:rPr>
                <w:rStyle w:val="normaltextrun"/>
                <w:color w:val="000000"/>
                <w:sz w:val="22"/>
                <w:szCs w:val="22"/>
              </w:rPr>
              <w:t>A centralized breach tracking log maintained by NMRE for all delegate-reported incidents.</w:t>
            </w:r>
            <w:r w:rsidRPr="00B96827">
              <w:rPr>
                <w:rStyle w:val="scxw127104304"/>
                <w:color w:val="000000"/>
                <w:sz w:val="22"/>
                <w:szCs w:val="22"/>
              </w:rPr>
              <w:t> </w:t>
            </w:r>
            <w:r w:rsidRPr="00B96827">
              <w:rPr>
                <w:color w:val="000000"/>
                <w:sz w:val="22"/>
                <w:szCs w:val="22"/>
              </w:rPr>
              <w:br/>
            </w:r>
            <w:r w:rsidRPr="00B96827">
              <w:rPr>
                <w:rStyle w:val="normaltextrun"/>
                <w:color w:val="000000"/>
                <w:sz w:val="22"/>
                <w:szCs w:val="22"/>
              </w:rPr>
              <w:t>Compliance reviews by NMRE’s Compliance Department to verify timely notification and documentation.</w:t>
            </w:r>
            <w:r w:rsidRPr="00B96827">
              <w:rPr>
                <w:rStyle w:val="eop"/>
                <w:color w:val="000000"/>
                <w:sz w:val="22"/>
                <w:szCs w:val="22"/>
              </w:rPr>
              <w:t> </w:t>
            </w:r>
          </w:p>
          <w:p w14:paraId="219EB10E" w14:textId="3A15777D" w:rsidR="00D03F23" w:rsidRPr="00B96827" w:rsidRDefault="00D03F23" w:rsidP="00D03F23">
            <w:pPr>
              <w:pStyle w:val="paragraph"/>
              <w:spacing w:before="0" w:beforeAutospacing="0" w:after="0" w:afterAutospacing="0"/>
              <w:textAlignment w:val="baseline"/>
              <w:rPr>
                <w:rFonts w:ascii="Segoe UI" w:hAnsi="Segoe UI" w:cs="Segoe UI"/>
                <w:color w:val="000000"/>
                <w:sz w:val="22"/>
                <w:szCs w:val="22"/>
              </w:rPr>
            </w:pPr>
            <w:r w:rsidRPr="00B96827">
              <w:rPr>
                <w:rStyle w:val="normaltextrun"/>
                <w:color w:val="000000"/>
                <w:sz w:val="22"/>
                <w:szCs w:val="22"/>
              </w:rPr>
              <w:t>Corrective action protocols for noncompliance.</w:t>
            </w:r>
            <w:r w:rsidRPr="00B96827">
              <w:rPr>
                <w:rStyle w:val="eop"/>
                <w:color w:val="000000"/>
                <w:sz w:val="22"/>
                <w:szCs w:val="22"/>
              </w:rPr>
              <w:t> </w:t>
            </w:r>
          </w:p>
          <w:p w14:paraId="17DC5DE7" w14:textId="6495C382" w:rsidR="00156F73" w:rsidRPr="00B96827" w:rsidRDefault="00D03F23" w:rsidP="00B96827">
            <w:pPr>
              <w:pStyle w:val="paragraph"/>
              <w:spacing w:before="0" w:beforeAutospacing="0" w:after="0" w:afterAutospacing="0"/>
              <w:textAlignment w:val="baseline"/>
              <w:rPr>
                <w:rFonts w:ascii="Segoe UI" w:hAnsi="Segoe UI" w:cs="Segoe UI"/>
                <w:color w:val="000000"/>
                <w:sz w:val="22"/>
                <w:szCs w:val="22"/>
              </w:rPr>
            </w:pPr>
            <w:r w:rsidRPr="00B96827">
              <w:rPr>
                <w:rStyle w:val="normaltextrun"/>
                <w:color w:val="000000"/>
                <w:sz w:val="22"/>
                <w:szCs w:val="22"/>
              </w:rPr>
              <w:t>This addition ensures NMRE maintains full compliance with federal breach notification standards and can demonstrate consistent oversight of delegate performance.</w:t>
            </w:r>
            <w:r w:rsidRPr="00B96827">
              <w:rPr>
                <w:rStyle w:val="eop"/>
                <w:color w:val="000000"/>
                <w:sz w:val="22"/>
                <w:szCs w:val="22"/>
              </w:rPr>
              <w:t> </w:t>
            </w:r>
          </w:p>
        </w:tc>
      </w:tr>
      <w:tr w:rsidR="00156F73" w:rsidRPr="00FC2C0F" w14:paraId="79863A1D"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52F76FBB" w14:textId="4820E1CB" w:rsidR="00156F73" w:rsidRPr="00FC2C0F" w:rsidRDefault="00156F73" w:rsidP="00156F73">
            <w:pPr>
              <w:pStyle w:val="HSAGTableText"/>
              <w:contextualSpacing/>
              <w:rPr>
                <w:bCs/>
              </w:rPr>
            </w:pPr>
            <w:r w:rsidRPr="00B30934">
              <w:rPr>
                <w:b/>
              </w:rPr>
              <w:t>Responsible Individual(s):</w:t>
            </w:r>
            <w:r>
              <w:rPr>
                <w:bCs/>
              </w:rPr>
              <w:t xml:space="preserve"> </w:t>
            </w:r>
            <w:r w:rsidR="00D03F23">
              <w:rPr>
                <w:rStyle w:val="normaltextrun"/>
                <w:color w:val="000000"/>
                <w:szCs w:val="22"/>
                <w:shd w:val="clear" w:color="auto" w:fill="FFFFFF"/>
              </w:rPr>
              <w:t>Brie Molaison, Compliance and Customer Services Officer and Brandon Rhue, Chief Information Officer (CIO)</w:t>
            </w:r>
          </w:p>
        </w:tc>
      </w:tr>
      <w:tr w:rsidR="00156F73" w:rsidRPr="00FC2C0F" w14:paraId="4A5D219F"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auto"/>
            </w:tcBorders>
          </w:tcPr>
          <w:p w14:paraId="6127448D" w14:textId="77777777" w:rsidR="00D03F23" w:rsidRDefault="00156F73" w:rsidP="00D03F23">
            <w:pPr>
              <w:pStyle w:val="paragraph"/>
              <w:spacing w:before="0" w:beforeAutospacing="0" w:after="0" w:afterAutospacing="0"/>
              <w:textAlignment w:val="baseline"/>
              <w:rPr>
                <w:rFonts w:ascii="Segoe UI" w:hAnsi="Segoe UI" w:cs="Segoe UI"/>
                <w:color w:val="000000"/>
                <w:sz w:val="18"/>
                <w:szCs w:val="18"/>
              </w:rPr>
            </w:pPr>
            <w:r w:rsidRPr="00B30934">
              <w:rPr>
                <w:b/>
              </w:rPr>
              <w:t>Timeline:</w:t>
            </w:r>
            <w:r>
              <w:rPr>
                <w:bCs/>
              </w:rPr>
              <w:t xml:space="preserve"> </w:t>
            </w:r>
            <w:r w:rsidR="00D03F23">
              <w:rPr>
                <w:rStyle w:val="normaltextrun"/>
                <w:color w:val="000000"/>
                <w:sz w:val="22"/>
                <w:szCs w:val="22"/>
              </w:rPr>
              <w:t>Draft Section N and Delegate Breach Report Form: February 2026</w:t>
            </w:r>
            <w:r w:rsidR="00D03F23">
              <w:rPr>
                <w:rStyle w:val="eop"/>
                <w:color w:val="000000"/>
                <w:sz w:val="22"/>
                <w:szCs w:val="22"/>
              </w:rPr>
              <w:t> </w:t>
            </w:r>
          </w:p>
          <w:p w14:paraId="3A7DD161" w14:textId="77777777" w:rsidR="00D03F23" w:rsidRDefault="00D03F23" w:rsidP="00D03F23">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sz w:val="22"/>
                <w:szCs w:val="22"/>
              </w:rPr>
              <w:t>Adopt updated Breach Notification Policy: March 2026</w:t>
            </w:r>
            <w:r>
              <w:rPr>
                <w:rStyle w:val="eop"/>
                <w:color w:val="000000"/>
                <w:sz w:val="22"/>
                <w:szCs w:val="22"/>
              </w:rPr>
              <w:t> </w:t>
            </w:r>
          </w:p>
          <w:p w14:paraId="2D705AEE" w14:textId="607A4EE8" w:rsidR="00156F73" w:rsidRPr="00B96827" w:rsidRDefault="00D03F23" w:rsidP="00B96827">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sz w:val="22"/>
                <w:szCs w:val="22"/>
              </w:rPr>
              <w:t>Begin quarterly oversight tracking and delegate reporting: April 2026</w:t>
            </w:r>
          </w:p>
        </w:tc>
      </w:tr>
      <w:tr w:rsidR="00156F73" w14:paraId="7EE40E00" w14:textId="77777777" w:rsidTr="0065503C">
        <w:tblPrEx>
          <w:tblCellMar>
            <w:left w:w="108" w:type="dxa"/>
            <w:right w:w="108" w:type="dxa"/>
          </w:tblCellMar>
        </w:tblPrEx>
        <w:trPr>
          <w:trHeight w:val="374"/>
          <w:jc w:val="center"/>
        </w:trPr>
        <w:tc>
          <w:tcPr>
            <w:tcW w:w="10432" w:type="dxa"/>
            <w:gridSpan w:val="3"/>
            <w:tcBorders>
              <w:top w:val="single" w:sz="4" w:space="0" w:color="auto"/>
              <w:bottom w:val="single" w:sz="18" w:space="0" w:color="00549E" w:themeColor="text2"/>
            </w:tcBorders>
            <w:shd w:val="clear" w:color="auto" w:fill="F2F2F2" w:themeFill="background1" w:themeFillShade="F2"/>
          </w:tcPr>
          <w:p w14:paraId="71DF9D56" w14:textId="79923EC8" w:rsidR="00156F73" w:rsidRPr="00FC2C0F" w:rsidRDefault="00156F73" w:rsidP="00156F73">
            <w:pPr>
              <w:pStyle w:val="HSAGTableText"/>
              <w:contextualSpacing/>
              <w:rPr>
                <w:bCs/>
              </w:rPr>
            </w:pPr>
            <w:r>
              <w:rPr>
                <w:b/>
              </w:rPr>
              <w:t>MDHHS/HSAG Response:</w:t>
            </w:r>
            <w:r>
              <w:rPr>
                <w:bCs/>
              </w:rPr>
              <w:t xml:space="preserve"> </w:t>
            </w:r>
            <w:r w:rsidR="00595A8D" w:rsidRPr="00595A8D">
              <w:rPr>
                <w:bCs/>
              </w:rPr>
              <w:t xml:space="preserve">The PIHP’s remediation plan is sufficient to ensure compliance with the requirements for this program area. While no additional information is required to be submitted at this time, the PIHP must proceed with </w:t>
            </w:r>
            <w:proofErr w:type="gramStart"/>
            <w:r w:rsidR="00595A8D" w:rsidRPr="00595A8D">
              <w:rPr>
                <w:bCs/>
              </w:rPr>
              <w:t>timely</w:t>
            </w:r>
            <w:proofErr w:type="gramEnd"/>
            <w:r w:rsidR="00595A8D" w:rsidRPr="00595A8D">
              <w:rPr>
                <w:bCs/>
              </w:rPr>
              <w:t xml:space="preserve"> implementation of its action plans. Please note, an </w:t>
            </w:r>
            <w:r w:rsidR="00595A8D" w:rsidRPr="00595A8D">
              <w:rPr>
                <w:bCs/>
                <w:i/>
                <w:iCs/>
              </w:rPr>
              <w:t>Accepted</w:t>
            </w:r>
            <w:r w:rsidR="00595A8D" w:rsidRPr="00595A8D">
              <w:rPr>
                <w:bCs/>
              </w:rPr>
              <w:t xml:space="preserve"> designation is not a guarantee of future compliance. Implementation of the PIHP’s action plans and demonstration of compliance will be assessed during future compliance review activities.</w:t>
            </w:r>
          </w:p>
        </w:tc>
        <w:tc>
          <w:tcPr>
            <w:tcW w:w="3579" w:type="dxa"/>
            <w:gridSpan w:val="2"/>
            <w:tcBorders>
              <w:top w:val="single" w:sz="4" w:space="0" w:color="auto"/>
              <w:bottom w:val="single" w:sz="18" w:space="0" w:color="00549E" w:themeColor="text2"/>
            </w:tcBorders>
            <w:shd w:val="clear" w:color="auto" w:fill="F2F2F2" w:themeFill="background1" w:themeFillShade="F2"/>
          </w:tcPr>
          <w:p w14:paraId="2AA3DE82" w14:textId="4A29F638" w:rsidR="00156F73" w:rsidRPr="00C123EE" w:rsidRDefault="00000000" w:rsidP="00156F73">
            <w:pPr>
              <w:pStyle w:val="HSAGTableText"/>
              <w:contextualSpacing/>
              <w:rPr>
                <w:bCs/>
              </w:rPr>
            </w:pPr>
            <w:sdt>
              <w:sdtPr>
                <w:rPr>
                  <w:bCs/>
                </w:rPr>
                <w:id w:val="-773792898"/>
                <w14:checkbox>
                  <w14:checked w14:val="1"/>
                  <w14:checkedState w14:val="2612" w14:font="MS Gothic"/>
                  <w14:uncheckedState w14:val="2610" w14:font="MS Gothic"/>
                </w14:checkbox>
              </w:sdtPr>
              <w:sdtContent>
                <w:r w:rsidR="00595A8D">
                  <w:rPr>
                    <w:rFonts w:ascii="MS Gothic" w:eastAsia="MS Gothic" w:hAnsi="MS Gothic" w:hint="eastAsia"/>
                    <w:bCs/>
                  </w:rPr>
                  <w:t>☒</w:t>
                </w:r>
              </w:sdtContent>
            </w:sdt>
            <w:r w:rsidR="00156F73" w:rsidRPr="00C123EE">
              <w:rPr>
                <w:bCs/>
              </w:rPr>
              <w:t xml:space="preserve"> Accepted</w:t>
            </w:r>
          </w:p>
          <w:p w14:paraId="6B9BFB37" w14:textId="77777777" w:rsidR="00156F73" w:rsidRPr="00C123EE" w:rsidRDefault="00000000" w:rsidP="00156F73">
            <w:pPr>
              <w:pStyle w:val="HSAGTableText"/>
              <w:contextualSpacing/>
              <w:rPr>
                <w:bCs/>
              </w:rPr>
            </w:pPr>
            <w:sdt>
              <w:sdtPr>
                <w:rPr>
                  <w:bCs/>
                </w:rPr>
                <w:id w:val="-366687355"/>
                <w14:checkbox>
                  <w14:checked w14:val="0"/>
                  <w14:checkedState w14:val="2612" w14:font="MS Gothic"/>
                  <w14:uncheckedState w14:val="2610" w14:font="MS Gothic"/>
                </w14:checkbox>
              </w:sdtPr>
              <w:sdtContent>
                <w:r w:rsidR="00156F73" w:rsidRPr="00C123EE">
                  <w:rPr>
                    <w:rFonts w:ascii="MS Gothic" w:eastAsia="MS Gothic" w:hAnsi="MS Gothic" w:hint="eastAsia"/>
                    <w:bCs/>
                  </w:rPr>
                  <w:t>☐</w:t>
                </w:r>
              </w:sdtContent>
            </w:sdt>
            <w:r w:rsidR="00156F73" w:rsidRPr="00C123EE">
              <w:rPr>
                <w:bCs/>
              </w:rPr>
              <w:t xml:space="preserve"> Accepted </w:t>
            </w:r>
            <w:r w:rsidR="00156F73">
              <w:rPr>
                <w:bCs/>
              </w:rPr>
              <w:t>W</w:t>
            </w:r>
            <w:r w:rsidR="00156F73" w:rsidRPr="00C123EE">
              <w:rPr>
                <w:bCs/>
              </w:rPr>
              <w:t>ith Recommendations</w:t>
            </w:r>
          </w:p>
          <w:p w14:paraId="5A014C96" w14:textId="77777777" w:rsidR="00156F73" w:rsidRDefault="00000000" w:rsidP="00156F73">
            <w:pPr>
              <w:pStyle w:val="HSAGTableText"/>
              <w:contextualSpacing/>
              <w:rPr>
                <w:b/>
              </w:rPr>
            </w:pPr>
            <w:sdt>
              <w:sdtPr>
                <w:rPr>
                  <w:bCs/>
                </w:rPr>
                <w:id w:val="165372005"/>
                <w14:checkbox>
                  <w14:checked w14:val="0"/>
                  <w14:checkedState w14:val="2612" w14:font="MS Gothic"/>
                  <w14:uncheckedState w14:val="2610" w14:font="MS Gothic"/>
                </w14:checkbox>
              </w:sdtPr>
              <w:sdtContent>
                <w:r w:rsidR="00156F73" w:rsidRPr="00C123EE">
                  <w:rPr>
                    <w:rFonts w:ascii="MS Gothic" w:eastAsia="MS Gothic" w:hAnsi="MS Gothic" w:hint="eastAsia"/>
                    <w:bCs/>
                  </w:rPr>
                  <w:t>☐</w:t>
                </w:r>
              </w:sdtContent>
            </w:sdt>
            <w:r w:rsidR="00156F73" w:rsidRPr="00C123EE">
              <w:rPr>
                <w:bCs/>
              </w:rPr>
              <w:t xml:space="preserve"> Not Accepted</w:t>
            </w:r>
          </w:p>
        </w:tc>
      </w:tr>
      <w:tr w:rsidR="00156F73" w:rsidRPr="00903F99" w14:paraId="3897B0FF" w14:textId="77777777" w:rsidTr="00B96827">
        <w:trPr>
          <w:trHeight w:val="374"/>
          <w:jc w:val="center"/>
        </w:trPr>
        <w:tc>
          <w:tcPr>
            <w:tcW w:w="6745" w:type="dxa"/>
            <w:gridSpan w:val="2"/>
            <w:vMerge w:val="restart"/>
          </w:tcPr>
          <w:p w14:paraId="5D2C9D7D" w14:textId="77777777" w:rsidR="00156F73" w:rsidRPr="001408D5" w:rsidRDefault="00156F73" w:rsidP="00156F73">
            <w:pPr>
              <w:pStyle w:val="ListNoNum"/>
              <w:keepNext/>
              <w:rPr>
                <w:sz w:val="18"/>
                <w:szCs w:val="18"/>
              </w:rPr>
            </w:pPr>
            <w:r w:rsidRPr="001408D5">
              <w:rPr>
                <w:iCs/>
                <w:spacing w:val="-4"/>
              </w:rPr>
              <w:lastRenderedPageBreak/>
              <w:t>14.</w:t>
            </w:r>
            <w:r w:rsidRPr="001408D5">
              <w:rPr>
                <w:iCs/>
                <w:spacing w:val="-4"/>
              </w:rPr>
              <w:tab/>
            </w:r>
            <w:r w:rsidRPr="001408D5">
              <w:rPr>
                <w:iCs/>
              </w:rPr>
              <w:t>Except as provided in 45 CFR §164.412, the PIHP must provide the notification without unreasonable delay and in no case later than 60 calendar days after discovery of such a breach.</w:t>
            </w:r>
          </w:p>
          <w:p w14:paraId="13A2BCAC" w14:textId="77777777" w:rsidR="00156F73" w:rsidRPr="001408D5" w:rsidRDefault="00156F73" w:rsidP="00156F73">
            <w:pPr>
              <w:pStyle w:val="HSAGTableContracttext"/>
            </w:pPr>
          </w:p>
          <w:p w14:paraId="652CDA6A" w14:textId="77777777" w:rsidR="00156F73" w:rsidRPr="001408D5" w:rsidRDefault="00156F73" w:rsidP="00156F73">
            <w:pPr>
              <w:pStyle w:val="HSAGTableContracttext"/>
              <w:rPr>
                <w:i/>
              </w:rPr>
            </w:pPr>
            <w:r w:rsidRPr="001408D5">
              <w:t>45 CFR §164.404(b)</w:t>
            </w:r>
          </w:p>
          <w:p w14:paraId="0DFA0B57" w14:textId="04C3FCBD" w:rsidR="00156F73" w:rsidRPr="00903F99" w:rsidRDefault="00156F73" w:rsidP="00156F73">
            <w:pPr>
              <w:pStyle w:val="HSAGTableContracttext"/>
              <w:keepNext/>
              <w:spacing w:before="0" w:after="0"/>
              <w:ind w:left="1440"/>
              <w:contextualSpacing/>
              <w:rPr>
                <w:i/>
                <w:szCs w:val="18"/>
              </w:rPr>
            </w:pPr>
            <w:r w:rsidRPr="001408D5">
              <w:t>45 CFR §164.412</w:t>
            </w:r>
          </w:p>
        </w:tc>
        <w:tc>
          <w:tcPr>
            <w:tcW w:w="5840" w:type="dxa"/>
            <w:gridSpan w:val="2"/>
            <w:shd w:val="clear" w:color="auto" w:fill="FFFFFF" w:themeFill="background1"/>
          </w:tcPr>
          <w:p w14:paraId="6DC3852C" w14:textId="77777777" w:rsidR="00156F73" w:rsidRPr="001408D5" w:rsidRDefault="00156F73" w:rsidP="00156F73">
            <w:pPr>
              <w:pStyle w:val="HSAGTableText"/>
              <w:contextualSpacing/>
              <w:rPr>
                <w:b/>
                <w:bCs/>
              </w:rPr>
            </w:pPr>
            <w:r w:rsidRPr="001408D5">
              <w:rPr>
                <w:b/>
                <w:bCs/>
              </w:rPr>
              <w:t>HSAG Required Evidence:</w:t>
            </w:r>
          </w:p>
          <w:p w14:paraId="00D8D0C4" w14:textId="77777777" w:rsidR="00156F73" w:rsidRPr="001408D5" w:rsidRDefault="00156F73" w:rsidP="00595A8D">
            <w:pPr>
              <w:pStyle w:val="HSAGTableText"/>
              <w:numPr>
                <w:ilvl w:val="0"/>
                <w:numId w:val="19"/>
              </w:numPr>
              <w:contextualSpacing/>
            </w:pPr>
            <w:r w:rsidRPr="001408D5">
              <w:t>Policies and procedures</w:t>
            </w:r>
          </w:p>
          <w:p w14:paraId="51D9F8C1" w14:textId="77777777" w:rsidR="00156F73" w:rsidRDefault="00156F73" w:rsidP="00595A8D">
            <w:pPr>
              <w:pStyle w:val="HSAGTableText"/>
              <w:numPr>
                <w:ilvl w:val="0"/>
                <w:numId w:val="19"/>
              </w:numPr>
              <w:contextualSpacing/>
            </w:pPr>
            <w:r w:rsidRPr="001408D5">
              <w:t xml:space="preserve">List of all breaches of unsecured PHI during the </w:t>
            </w:r>
            <w:proofErr w:type="gramStart"/>
            <w:r w:rsidRPr="001408D5">
              <w:t>time period</w:t>
            </w:r>
            <w:proofErr w:type="gramEnd"/>
            <w:r w:rsidRPr="001408D5">
              <w:t xml:space="preserve"> under review, including the date of discovery and date of notification to members</w:t>
            </w:r>
          </w:p>
          <w:p w14:paraId="4C91CD77" w14:textId="17E1F0A7" w:rsidR="00156F73" w:rsidRPr="00903F99" w:rsidRDefault="00156F73" w:rsidP="00595A8D">
            <w:pPr>
              <w:pStyle w:val="HSAGTableText"/>
              <w:numPr>
                <w:ilvl w:val="0"/>
                <w:numId w:val="19"/>
              </w:numPr>
              <w:contextualSpacing/>
            </w:pPr>
            <w:r w:rsidRPr="001408D5">
              <w:t>Three examples of breach notification letters to members</w:t>
            </w:r>
          </w:p>
        </w:tc>
        <w:tc>
          <w:tcPr>
            <w:tcW w:w="1426" w:type="dxa"/>
            <w:vMerge w:val="restart"/>
            <w:shd w:val="clear" w:color="auto" w:fill="FFFFFF" w:themeFill="background1"/>
          </w:tcPr>
          <w:p w14:paraId="7E3F9CD3" w14:textId="77777777" w:rsidR="00156F73" w:rsidRPr="001408D5" w:rsidRDefault="00000000" w:rsidP="00156F73">
            <w:pPr>
              <w:spacing w:before="60" w:after="0"/>
              <w:contextualSpacing/>
              <w:rPr>
                <w:sz w:val="22"/>
              </w:rPr>
            </w:pPr>
            <w:sdt>
              <w:sdtPr>
                <w:rPr>
                  <w:sz w:val="22"/>
                </w:rPr>
                <w:id w:val="526073955"/>
                <w14:checkbox>
                  <w14:checked w14:val="0"/>
                  <w14:checkedState w14:val="2612" w14:font="MS Gothic"/>
                  <w14:uncheckedState w14:val="2610" w14:font="MS Gothic"/>
                </w14:checkbox>
              </w:sdtPr>
              <w:sdtContent>
                <w:r w:rsidR="00156F73" w:rsidRPr="001408D5">
                  <w:rPr>
                    <w:rFonts w:ascii="MS Gothic" w:eastAsia="MS Gothic" w:hAnsi="MS Gothic" w:hint="eastAsia"/>
                    <w:sz w:val="22"/>
                  </w:rPr>
                  <w:t>☐</w:t>
                </w:r>
              </w:sdtContent>
            </w:sdt>
            <w:r w:rsidR="00156F73" w:rsidRPr="001408D5">
              <w:rPr>
                <w:sz w:val="22"/>
              </w:rPr>
              <w:t xml:space="preserve"> Met</w:t>
            </w:r>
          </w:p>
          <w:p w14:paraId="697048F1" w14:textId="77777777" w:rsidR="00156F73" w:rsidRPr="001408D5" w:rsidRDefault="00000000" w:rsidP="00156F73">
            <w:pPr>
              <w:spacing w:before="60" w:after="0"/>
              <w:contextualSpacing/>
              <w:rPr>
                <w:sz w:val="22"/>
              </w:rPr>
            </w:pPr>
            <w:sdt>
              <w:sdtPr>
                <w:rPr>
                  <w:sz w:val="22"/>
                </w:rPr>
                <w:id w:val="1933163252"/>
                <w14:checkbox>
                  <w14:checked w14:val="1"/>
                  <w14:checkedState w14:val="2612" w14:font="MS Gothic"/>
                  <w14:uncheckedState w14:val="2610" w14:font="MS Gothic"/>
                </w14:checkbox>
              </w:sdtPr>
              <w:sdtContent>
                <w:r w:rsidR="00156F73" w:rsidRPr="001408D5">
                  <w:rPr>
                    <w:rFonts w:ascii="MS Gothic" w:eastAsia="MS Gothic" w:hAnsi="MS Gothic" w:hint="eastAsia"/>
                    <w:sz w:val="22"/>
                  </w:rPr>
                  <w:t>☒</w:t>
                </w:r>
              </w:sdtContent>
            </w:sdt>
            <w:r w:rsidR="00156F73" w:rsidRPr="001408D5">
              <w:rPr>
                <w:sz w:val="22"/>
              </w:rPr>
              <w:t xml:space="preserve"> Not Met</w:t>
            </w:r>
          </w:p>
          <w:p w14:paraId="1084254D" w14:textId="13AB3892" w:rsidR="00156F73" w:rsidRPr="00903F99" w:rsidRDefault="00000000" w:rsidP="00156F73">
            <w:pPr>
              <w:spacing w:before="0" w:after="0"/>
              <w:contextualSpacing/>
              <w:rPr>
                <w:sz w:val="22"/>
              </w:rPr>
            </w:pPr>
            <w:sdt>
              <w:sdtPr>
                <w:rPr>
                  <w:sz w:val="22"/>
                </w:rPr>
                <w:id w:val="-1810230459"/>
                <w14:checkbox>
                  <w14:checked w14:val="0"/>
                  <w14:checkedState w14:val="2612" w14:font="MS Gothic"/>
                  <w14:uncheckedState w14:val="2610" w14:font="MS Gothic"/>
                </w14:checkbox>
              </w:sdtPr>
              <w:sdtContent>
                <w:r w:rsidR="00156F73" w:rsidRPr="001408D5">
                  <w:rPr>
                    <w:rFonts w:ascii="MS Gothic" w:eastAsia="MS Gothic" w:hAnsi="MS Gothic" w:hint="eastAsia"/>
                    <w:sz w:val="22"/>
                  </w:rPr>
                  <w:t>☐</w:t>
                </w:r>
              </w:sdtContent>
            </w:sdt>
            <w:r w:rsidR="00156F73" w:rsidRPr="001408D5">
              <w:rPr>
                <w:sz w:val="22"/>
              </w:rPr>
              <w:t xml:space="preserve"> NA</w:t>
            </w:r>
          </w:p>
        </w:tc>
      </w:tr>
      <w:tr w:rsidR="00156F73" w:rsidRPr="00903F99" w14:paraId="0C969A22" w14:textId="77777777" w:rsidTr="00B96827">
        <w:trPr>
          <w:trHeight w:val="374"/>
          <w:jc w:val="center"/>
        </w:trPr>
        <w:tc>
          <w:tcPr>
            <w:tcW w:w="6745" w:type="dxa"/>
            <w:gridSpan w:val="2"/>
            <w:vMerge/>
          </w:tcPr>
          <w:p w14:paraId="2E6DFF0E" w14:textId="77777777" w:rsidR="00156F73" w:rsidRPr="00903F99" w:rsidRDefault="00156F73" w:rsidP="00595A8D">
            <w:pPr>
              <w:pStyle w:val="HSAGNumbers"/>
              <w:numPr>
                <w:ilvl w:val="0"/>
                <w:numId w:val="16"/>
              </w:numPr>
              <w:spacing w:before="0" w:after="0"/>
              <w:contextualSpacing/>
            </w:pPr>
          </w:p>
        </w:tc>
        <w:tc>
          <w:tcPr>
            <w:tcW w:w="5840" w:type="dxa"/>
            <w:gridSpan w:val="2"/>
            <w:shd w:val="clear" w:color="auto" w:fill="FFFFFF" w:themeFill="background1"/>
          </w:tcPr>
          <w:p w14:paraId="2AA5E58C" w14:textId="77777777" w:rsidR="00156F73" w:rsidRPr="001408D5" w:rsidRDefault="00156F73" w:rsidP="00156F73">
            <w:pPr>
              <w:pStyle w:val="HSAGTableText"/>
              <w:contextualSpacing/>
              <w:rPr>
                <w:b/>
                <w:bCs/>
              </w:rPr>
            </w:pPr>
            <w:r w:rsidRPr="001408D5">
              <w:rPr>
                <w:b/>
                <w:bCs/>
              </w:rPr>
              <w:t>Evidence as Submitted by the PIHP:</w:t>
            </w:r>
          </w:p>
          <w:p w14:paraId="396401A7" w14:textId="77777777" w:rsidR="00156F73" w:rsidRPr="001408D5" w:rsidRDefault="00156F73" w:rsidP="00595A8D">
            <w:pPr>
              <w:pStyle w:val="HSAGTableText"/>
              <w:numPr>
                <w:ilvl w:val="0"/>
                <w:numId w:val="22"/>
              </w:numPr>
              <w:contextualSpacing/>
            </w:pPr>
            <w:r w:rsidRPr="001408D5">
              <w:t>S8_E12_E13_E14_Breach Notification page 2 of 10</w:t>
            </w:r>
          </w:p>
          <w:p w14:paraId="4CA03CAF" w14:textId="77777777" w:rsidR="00156F73" w:rsidRPr="001408D5" w:rsidRDefault="00156F73" w:rsidP="00595A8D">
            <w:pPr>
              <w:pStyle w:val="HSAGTableText"/>
              <w:numPr>
                <w:ilvl w:val="0"/>
                <w:numId w:val="22"/>
              </w:numPr>
              <w:contextualSpacing/>
            </w:pPr>
            <w:r w:rsidRPr="001408D5">
              <w:t>S8_E14_E15_Breach Notification Example 1</w:t>
            </w:r>
          </w:p>
          <w:p w14:paraId="37C3FF9B" w14:textId="77777777" w:rsidR="00156F73" w:rsidRDefault="00156F73" w:rsidP="00595A8D">
            <w:pPr>
              <w:pStyle w:val="HSAGTableText"/>
              <w:numPr>
                <w:ilvl w:val="0"/>
                <w:numId w:val="22"/>
              </w:numPr>
              <w:contextualSpacing/>
            </w:pPr>
            <w:r w:rsidRPr="001408D5">
              <w:t>S8_E14_Breach Notification Ex. 2</w:t>
            </w:r>
          </w:p>
          <w:p w14:paraId="4CDE7C73" w14:textId="60E4775C" w:rsidR="00156F73" w:rsidRPr="00903F99" w:rsidRDefault="00156F73" w:rsidP="00595A8D">
            <w:pPr>
              <w:pStyle w:val="HSAGTableText"/>
              <w:numPr>
                <w:ilvl w:val="0"/>
                <w:numId w:val="22"/>
              </w:numPr>
              <w:contextualSpacing/>
            </w:pPr>
            <w:r w:rsidRPr="001408D5">
              <w:t>S8_E14_E15_Breach Notification Example 3</w:t>
            </w:r>
          </w:p>
        </w:tc>
        <w:tc>
          <w:tcPr>
            <w:tcW w:w="1426" w:type="dxa"/>
            <w:vMerge/>
            <w:shd w:val="clear" w:color="auto" w:fill="FFFFFF" w:themeFill="background1"/>
          </w:tcPr>
          <w:p w14:paraId="0E5922BE" w14:textId="77777777" w:rsidR="00156F73" w:rsidRPr="00903F99" w:rsidRDefault="00156F73" w:rsidP="00156F73">
            <w:pPr>
              <w:spacing w:before="0" w:after="0"/>
              <w:contextualSpacing/>
              <w:rPr>
                <w:sz w:val="22"/>
              </w:rPr>
            </w:pPr>
          </w:p>
        </w:tc>
      </w:tr>
      <w:tr w:rsidR="00156F73" w:rsidRPr="00903F99" w14:paraId="0EE106BB" w14:textId="77777777" w:rsidTr="004E3199">
        <w:trPr>
          <w:trHeight w:val="374"/>
          <w:jc w:val="center"/>
        </w:trPr>
        <w:tc>
          <w:tcPr>
            <w:tcW w:w="14011" w:type="dxa"/>
            <w:gridSpan w:val="5"/>
            <w:vAlign w:val="center"/>
          </w:tcPr>
          <w:p w14:paraId="08A3CC4B" w14:textId="2B3A8CE9" w:rsidR="00156F73" w:rsidRPr="00903F99" w:rsidRDefault="00156F73" w:rsidP="00156F73">
            <w:pPr>
              <w:pStyle w:val="HSAGTableText"/>
              <w:spacing w:before="0" w:after="0"/>
            </w:pPr>
            <w:r w:rsidRPr="001408D5">
              <w:rPr>
                <w:b/>
              </w:rPr>
              <w:t>PIHP Description of Process:</w:t>
            </w:r>
            <w:r w:rsidRPr="001408D5">
              <w:t xml:space="preserve"> The NMRE provides notification of a breach as soon as possible to the affected beneficiary, but no later than 60 days from the date of discovery of the breach. </w:t>
            </w:r>
          </w:p>
        </w:tc>
      </w:tr>
      <w:tr w:rsidR="00156F73" w:rsidRPr="0026679F" w14:paraId="4FF207E0" w14:textId="77777777" w:rsidTr="004E3199">
        <w:trPr>
          <w:trHeight w:val="374"/>
          <w:jc w:val="center"/>
        </w:trPr>
        <w:tc>
          <w:tcPr>
            <w:tcW w:w="14011" w:type="dxa"/>
            <w:gridSpan w:val="5"/>
            <w:tcBorders>
              <w:bottom w:val="single" w:sz="4" w:space="0" w:color="000000"/>
            </w:tcBorders>
            <w:vAlign w:val="center"/>
          </w:tcPr>
          <w:p w14:paraId="003C92DA" w14:textId="77777777" w:rsidR="00156F73" w:rsidRPr="001408D5" w:rsidRDefault="00156F73" w:rsidP="00156F73">
            <w:pPr>
              <w:pStyle w:val="HSAGTableText"/>
            </w:pPr>
            <w:r w:rsidRPr="001408D5">
              <w:rPr>
                <w:b/>
              </w:rPr>
              <w:t>HSAG Findings:</w:t>
            </w:r>
            <w:r w:rsidRPr="001408D5">
              <w:t xml:space="preserve"> The PIHP initially submitted three examples of unauthorized disclosures of PHI/breaches from two of its CMHSPs; however, no evidence was provided showing the members in </w:t>
            </w:r>
            <w:r w:rsidRPr="001408D5">
              <w:rPr>
                <w:i/>
                <w:iCs/>
              </w:rPr>
              <w:t>Breach Notification Example 1</w:t>
            </w:r>
            <w:r w:rsidRPr="001408D5">
              <w:t xml:space="preserve"> and </w:t>
            </w:r>
            <w:r w:rsidRPr="001408D5">
              <w:rPr>
                <w:i/>
                <w:iCs/>
              </w:rPr>
              <w:t>Breach Notification Example 3</w:t>
            </w:r>
            <w:r w:rsidRPr="001408D5">
              <w:t xml:space="preserve"> were notified. </w:t>
            </w:r>
            <w:r w:rsidRPr="001408D5">
              <w:rPr>
                <w:iCs/>
              </w:rPr>
              <w:t>Following the site review</w:t>
            </w:r>
            <w:r w:rsidRPr="001408D5">
              <w:t xml:space="preserve">, HSAG requested the PIHP provide evidence of the breach letters sent to the individuals for </w:t>
            </w:r>
            <w:r w:rsidRPr="001408D5">
              <w:rPr>
                <w:i/>
                <w:iCs/>
              </w:rPr>
              <w:t xml:space="preserve">Breach Notification Example 1 </w:t>
            </w:r>
            <w:r w:rsidRPr="001408D5">
              <w:t>and</w:t>
            </w:r>
            <w:r w:rsidRPr="001408D5">
              <w:rPr>
                <w:i/>
                <w:iCs/>
              </w:rPr>
              <w:t xml:space="preserve"> Breach Notification Example 3</w:t>
            </w:r>
            <w:r w:rsidRPr="001408D5">
              <w:t xml:space="preserve">. The PIHP submitted a document titled </w:t>
            </w:r>
            <w:r w:rsidRPr="001408D5">
              <w:rPr>
                <w:i/>
                <w:iCs/>
              </w:rPr>
              <w:t>Breach Notification Example</w:t>
            </w:r>
            <w:r w:rsidRPr="001408D5">
              <w:t xml:space="preserve"> in follow up, which was a breach notification letter to a different member and did not demonstrate that appropriate action was taken for notifying the individuals in </w:t>
            </w:r>
            <w:r w:rsidRPr="001408D5">
              <w:rPr>
                <w:i/>
                <w:iCs/>
              </w:rPr>
              <w:t xml:space="preserve">Breach Notification Example 1 </w:t>
            </w:r>
            <w:r w:rsidRPr="001408D5">
              <w:t>and</w:t>
            </w:r>
            <w:r w:rsidRPr="001408D5">
              <w:rPr>
                <w:i/>
                <w:iCs/>
              </w:rPr>
              <w:t xml:space="preserve"> Breach Notification Example 3 </w:t>
            </w:r>
            <w:r w:rsidRPr="001408D5">
              <w:t xml:space="preserve">initially submitted. </w:t>
            </w:r>
          </w:p>
          <w:p w14:paraId="69CBF139" w14:textId="2EDA5E42" w:rsidR="00156F73" w:rsidRPr="0026679F" w:rsidRDefault="00156F73" w:rsidP="00156F73">
            <w:pPr>
              <w:pStyle w:val="HSAGTableText"/>
              <w:spacing w:before="0"/>
            </w:pPr>
            <w:r w:rsidRPr="001408D5">
              <w:rPr>
                <w:b/>
                <w:bCs/>
              </w:rPr>
              <w:t>Recommendations:</w:t>
            </w:r>
            <w:r w:rsidRPr="001408D5">
              <w:t xml:space="preserve"> Although the PIHP submitted its </w:t>
            </w:r>
            <w:r w:rsidRPr="001408D5">
              <w:rPr>
                <w:i/>
                <w:iCs/>
              </w:rPr>
              <w:t>Breach Notification</w:t>
            </w:r>
            <w:r w:rsidRPr="001408D5">
              <w:t xml:space="preserve"> policy outlining the requirements under this element, and confirmed the CMHSPs are responsible for providing notification to its members, HSAG strongly recommends that the PIHP develop a formal process to receive and track its delegates’ unauthorized disclosures of PHI and breaches to ensure its delegates are providing notification to affected individuals</w:t>
            </w:r>
            <w:r>
              <w:t>,</w:t>
            </w:r>
            <w:r w:rsidRPr="001408D5">
              <w:t xml:space="preserve"> and the media as applicable, and notifying the PIHP as well as the Secretary as required. If the PIHP does not demonstrate adequate implementation of HSAG’s recommendations during future compliance reviews, the PIHP may receive a </w:t>
            </w:r>
            <w:r w:rsidRPr="001408D5">
              <w:rPr>
                <w:i/>
                <w:iCs/>
              </w:rPr>
              <w:t>Not Met</w:t>
            </w:r>
            <w:r w:rsidRPr="001408D5">
              <w:t xml:space="preserve"> score.</w:t>
            </w:r>
          </w:p>
        </w:tc>
      </w:tr>
      <w:tr w:rsidR="00156F73" w:rsidRPr="0026679F" w14:paraId="0B8AD338" w14:textId="77777777" w:rsidTr="004E3199">
        <w:trPr>
          <w:trHeight w:val="374"/>
          <w:jc w:val="center"/>
        </w:trPr>
        <w:tc>
          <w:tcPr>
            <w:tcW w:w="14011" w:type="dxa"/>
            <w:gridSpan w:val="5"/>
            <w:tcBorders>
              <w:top w:val="single" w:sz="4" w:space="0" w:color="000000"/>
              <w:bottom w:val="single" w:sz="4" w:space="0" w:color="auto"/>
            </w:tcBorders>
            <w:vAlign w:val="center"/>
          </w:tcPr>
          <w:p w14:paraId="1324F2FF" w14:textId="0A5ED223" w:rsidR="00156F73" w:rsidRPr="0026679F" w:rsidRDefault="00156F73" w:rsidP="00156F73">
            <w:pPr>
              <w:pStyle w:val="HSAGTableText"/>
              <w:rPr>
                <w:b/>
              </w:rPr>
            </w:pPr>
            <w:r w:rsidRPr="001408D5">
              <w:rPr>
                <w:b/>
              </w:rPr>
              <w:t>Required Actions:</w:t>
            </w:r>
            <w:r w:rsidRPr="001408D5">
              <w:t xml:space="preserve"> Except as provided in 45 CFR §164.412, the PIHP must provide the notification without unreasonable delay and in no case later than 60 calendar days after discovery of such a breach.</w:t>
            </w:r>
          </w:p>
        </w:tc>
      </w:tr>
      <w:tr w:rsidR="00156F73" w:rsidRPr="00D16F05" w14:paraId="0BC489F5" w14:textId="77777777" w:rsidTr="004E3199">
        <w:tblPrEx>
          <w:tblCellMar>
            <w:left w:w="108" w:type="dxa"/>
            <w:right w:w="108" w:type="dxa"/>
          </w:tblCellMar>
        </w:tblPrEx>
        <w:trPr>
          <w:trHeight w:val="374"/>
          <w:jc w:val="center"/>
        </w:trPr>
        <w:tc>
          <w:tcPr>
            <w:tcW w:w="14011" w:type="dxa"/>
            <w:gridSpan w:val="5"/>
            <w:tcBorders>
              <w:top w:val="single" w:sz="4" w:space="0" w:color="auto"/>
              <w:bottom w:val="single" w:sz="4" w:space="0" w:color="000000" w:themeColor="text1"/>
            </w:tcBorders>
            <w:shd w:val="clear" w:color="auto" w:fill="F79548" w:themeFill="accent4"/>
          </w:tcPr>
          <w:p w14:paraId="67D5AFC2" w14:textId="77777777" w:rsidR="00156F73" w:rsidRPr="00D16F05" w:rsidRDefault="00156F73" w:rsidP="00156F73">
            <w:pPr>
              <w:pStyle w:val="HSAGTableText"/>
              <w:keepNext/>
              <w:contextualSpacing/>
              <w:rPr>
                <w:b/>
              </w:rPr>
            </w:pPr>
            <w:r>
              <w:rPr>
                <w:b/>
              </w:rPr>
              <w:lastRenderedPageBreak/>
              <w:t>PIHP Corrective Action Plan</w:t>
            </w:r>
          </w:p>
        </w:tc>
      </w:tr>
      <w:tr w:rsidR="00156F73" w:rsidRPr="00984D92" w14:paraId="62990CF2"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0DED45BD" w14:textId="3865C2A6" w:rsidR="00156F73" w:rsidRPr="00B96827" w:rsidRDefault="00156F73" w:rsidP="00156F73">
            <w:pPr>
              <w:pStyle w:val="HSAGTableText"/>
              <w:contextualSpacing/>
              <w:rPr>
                <w:bCs/>
                <w:szCs w:val="22"/>
              </w:rPr>
            </w:pPr>
            <w:r w:rsidRPr="00B96827">
              <w:rPr>
                <w:b/>
                <w:szCs w:val="22"/>
              </w:rPr>
              <w:t>Root Cause Analysis:</w:t>
            </w:r>
            <w:r w:rsidRPr="00B96827">
              <w:rPr>
                <w:bCs/>
                <w:szCs w:val="22"/>
              </w:rPr>
              <w:t xml:space="preserve"> </w:t>
            </w:r>
            <w:r w:rsidR="00D03F23" w:rsidRPr="00B96827">
              <w:rPr>
                <w:rStyle w:val="normaltextrun"/>
                <w:color w:val="000000"/>
                <w:szCs w:val="22"/>
                <w:shd w:val="clear" w:color="auto" w:fill="FFFFFF"/>
              </w:rPr>
              <w:t>NMRE’s Breach Notification Policy and Procedure already includes the 60-day federal requirement for providing notice to affected individuals. However, NMRE did not have a formalized oversight mechanism for verifying that its Community Mental Health Services Program (CMHSP) delegates issued notifications to affected individuals within the required timeframe. As a result, NMRE could not provide sufficient documentation confirming that delegate notifications occurred within 60 calendar days of breach discovery for all examples reviewed by HSAG.</w:t>
            </w:r>
          </w:p>
        </w:tc>
      </w:tr>
      <w:tr w:rsidR="00156F73" w:rsidRPr="00FC2C0F" w14:paraId="22D14D3A"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6DA5ABA3" w14:textId="77777777" w:rsidR="00D03F23" w:rsidRPr="00B96827" w:rsidRDefault="00156F73" w:rsidP="00D03F23">
            <w:pPr>
              <w:pStyle w:val="paragraph"/>
              <w:spacing w:before="0" w:beforeAutospacing="0" w:after="0" w:afterAutospacing="0"/>
              <w:textAlignment w:val="baseline"/>
              <w:rPr>
                <w:rFonts w:ascii="Segoe UI" w:hAnsi="Segoe UI" w:cs="Segoe UI"/>
                <w:color w:val="000000"/>
                <w:sz w:val="22"/>
                <w:szCs w:val="22"/>
              </w:rPr>
            </w:pPr>
            <w:r w:rsidRPr="00B96827">
              <w:rPr>
                <w:b/>
                <w:sz w:val="22"/>
                <w:szCs w:val="22"/>
              </w:rPr>
              <w:t>PIHP Remediation Plan:</w:t>
            </w:r>
            <w:r w:rsidRPr="00B96827">
              <w:rPr>
                <w:bCs/>
                <w:sz w:val="22"/>
                <w:szCs w:val="22"/>
              </w:rPr>
              <w:t xml:space="preserve"> </w:t>
            </w:r>
            <w:r w:rsidR="00D03F23" w:rsidRPr="00B96827">
              <w:rPr>
                <w:rStyle w:val="normaltextrun"/>
                <w:b/>
                <w:bCs/>
                <w:color w:val="000000"/>
                <w:sz w:val="22"/>
                <w:szCs w:val="22"/>
              </w:rPr>
              <w:t>PIHP Remediation Plan:</w:t>
            </w:r>
            <w:r w:rsidR="00D03F23" w:rsidRPr="00B96827">
              <w:rPr>
                <w:rStyle w:val="normaltextrun"/>
                <w:color w:val="000000"/>
                <w:sz w:val="22"/>
                <w:szCs w:val="22"/>
              </w:rPr>
              <w:t xml:space="preserve"> Specifically, NMRE will:</w:t>
            </w:r>
            <w:r w:rsidR="00D03F23" w:rsidRPr="00B96827">
              <w:rPr>
                <w:rStyle w:val="eop"/>
                <w:color w:val="000000"/>
                <w:sz w:val="22"/>
                <w:szCs w:val="22"/>
              </w:rPr>
              <w:t> </w:t>
            </w:r>
          </w:p>
          <w:p w14:paraId="07B66F20" w14:textId="77777777" w:rsidR="00D03F23" w:rsidRPr="00B96827" w:rsidRDefault="00D03F23" w:rsidP="00B96827">
            <w:pPr>
              <w:pStyle w:val="paragraph"/>
              <w:numPr>
                <w:ilvl w:val="0"/>
                <w:numId w:val="39"/>
              </w:numPr>
              <w:spacing w:before="0" w:beforeAutospacing="0" w:after="0" w:afterAutospacing="0"/>
              <w:ind w:left="150" w:firstLine="0"/>
              <w:textAlignment w:val="baseline"/>
              <w:rPr>
                <w:color w:val="000000"/>
                <w:sz w:val="22"/>
                <w:szCs w:val="22"/>
              </w:rPr>
            </w:pPr>
            <w:r w:rsidRPr="00B96827">
              <w:rPr>
                <w:rStyle w:val="normaltextrun"/>
                <w:b/>
                <w:bCs/>
                <w:color w:val="000000"/>
                <w:sz w:val="22"/>
                <w:szCs w:val="22"/>
              </w:rPr>
              <w:t>Update Policy and Procedure:</w:t>
            </w:r>
            <w:r w:rsidRPr="00B96827">
              <w:rPr>
                <w:rStyle w:val="scxw249963625"/>
                <w:color w:val="000000"/>
                <w:sz w:val="22"/>
                <w:szCs w:val="22"/>
              </w:rPr>
              <w:t> </w:t>
            </w:r>
            <w:r w:rsidRPr="00B96827">
              <w:rPr>
                <w:color w:val="000000"/>
                <w:sz w:val="22"/>
                <w:szCs w:val="22"/>
              </w:rPr>
              <w:br/>
            </w:r>
            <w:r w:rsidRPr="00B96827">
              <w:rPr>
                <w:rStyle w:val="normaltextrun"/>
                <w:color w:val="000000"/>
                <w:sz w:val="22"/>
                <w:szCs w:val="22"/>
              </w:rPr>
              <w:t>Incorporate a new section (</w:t>
            </w:r>
            <w:r w:rsidRPr="00B96827">
              <w:rPr>
                <w:rStyle w:val="normaltextrun"/>
                <w:b/>
                <w:bCs/>
                <w:color w:val="000000"/>
                <w:sz w:val="22"/>
                <w:szCs w:val="22"/>
              </w:rPr>
              <w:t>Section N: Delegate Oversight and Reporting</w:t>
            </w:r>
            <w:r w:rsidRPr="00B96827">
              <w:rPr>
                <w:rStyle w:val="normaltextrun"/>
                <w:color w:val="000000"/>
                <w:sz w:val="22"/>
                <w:szCs w:val="22"/>
              </w:rPr>
              <w:t>) into the existing Breach Notification Policy and Procedure. This section will define:</w:t>
            </w:r>
            <w:r w:rsidRPr="00B96827">
              <w:rPr>
                <w:rStyle w:val="eop"/>
                <w:color w:val="000000"/>
                <w:sz w:val="22"/>
                <w:szCs w:val="22"/>
              </w:rPr>
              <w:t> </w:t>
            </w:r>
          </w:p>
          <w:p w14:paraId="7CD1C91B" w14:textId="77777777" w:rsidR="00D03F23" w:rsidRPr="00B96827" w:rsidRDefault="00D03F23" w:rsidP="00B96827">
            <w:pPr>
              <w:pStyle w:val="paragraph"/>
              <w:numPr>
                <w:ilvl w:val="0"/>
                <w:numId w:val="40"/>
              </w:numPr>
              <w:spacing w:before="0" w:beforeAutospacing="0" w:after="0" w:afterAutospacing="0"/>
              <w:ind w:left="330" w:firstLine="0"/>
              <w:textAlignment w:val="baseline"/>
              <w:rPr>
                <w:color w:val="000000"/>
                <w:sz w:val="22"/>
                <w:szCs w:val="22"/>
              </w:rPr>
            </w:pPr>
            <w:r w:rsidRPr="00B96827">
              <w:rPr>
                <w:rStyle w:val="normaltextrun"/>
                <w:color w:val="000000"/>
                <w:sz w:val="22"/>
                <w:szCs w:val="22"/>
              </w:rPr>
              <w:t xml:space="preserve">Delegate reporting requirements to notify NMRE within one (1) business day of breach </w:t>
            </w:r>
            <w:proofErr w:type="gramStart"/>
            <w:r w:rsidRPr="00B96827">
              <w:rPr>
                <w:rStyle w:val="normaltextrun"/>
                <w:color w:val="000000"/>
                <w:sz w:val="22"/>
                <w:szCs w:val="22"/>
              </w:rPr>
              <w:t>discovery;</w:t>
            </w:r>
            <w:proofErr w:type="gramEnd"/>
            <w:r w:rsidRPr="00B96827">
              <w:rPr>
                <w:rStyle w:val="eop"/>
                <w:color w:val="000000"/>
                <w:sz w:val="22"/>
                <w:szCs w:val="22"/>
              </w:rPr>
              <w:t> </w:t>
            </w:r>
          </w:p>
          <w:p w14:paraId="171D10A4" w14:textId="77777777" w:rsidR="00D03F23" w:rsidRPr="00B96827" w:rsidRDefault="00D03F23" w:rsidP="00B96827">
            <w:pPr>
              <w:pStyle w:val="paragraph"/>
              <w:numPr>
                <w:ilvl w:val="0"/>
                <w:numId w:val="41"/>
              </w:numPr>
              <w:spacing w:before="0" w:beforeAutospacing="0" w:after="0" w:afterAutospacing="0"/>
              <w:ind w:left="330" w:firstLine="0"/>
              <w:textAlignment w:val="baseline"/>
              <w:rPr>
                <w:color w:val="000000"/>
                <w:sz w:val="22"/>
                <w:szCs w:val="22"/>
              </w:rPr>
            </w:pPr>
            <w:r w:rsidRPr="00B96827">
              <w:rPr>
                <w:rStyle w:val="normaltextrun"/>
                <w:color w:val="000000"/>
                <w:sz w:val="22"/>
                <w:szCs w:val="22"/>
              </w:rPr>
              <w:t xml:space="preserve">Required documentation of the date member notifications are </w:t>
            </w:r>
            <w:proofErr w:type="gramStart"/>
            <w:r w:rsidRPr="00B96827">
              <w:rPr>
                <w:rStyle w:val="normaltextrun"/>
                <w:color w:val="000000"/>
                <w:sz w:val="22"/>
                <w:szCs w:val="22"/>
              </w:rPr>
              <w:t>sent;</w:t>
            </w:r>
            <w:proofErr w:type="gramEnd"/>
            <w:r w:rsidRPr="00B96827">
              <w:rPr>
                <w:rStyle w:val="eop"/>
                <w:color w:val="000000"/>
                <w:sz w:val="22"/>
                <w:szCs w:val="22"/>
              </w:rPr>
              <w:t> </w:t>
            </w:r>
          </w:p>
          <w:p w14:paraId="5114128F" w14:textId="77777777" w:rsidR="00D03F23" w:rsidRPr="00B96827" w:rsidRDefault="00D03F23" w:rsidP="00B96827">
            <w:pPr>
              <w:pStyle w:val="paragraph"/>
              <w:numPr>
                <w:ilvl w:val="0"/>
                <w:numId w:val="42"/>
              </w:numPr>
              <w:spacing w:before="0" w:beforeAutospacing="0" w:after="0" w:afterAutospacing="0"/>
              <w:ind w:left="330" w:firstLine="0"/>
              <w:textAlignment w:val="baseline"/>
              <w:rPr>
                <w:color w:val="000000"/>
                <w:sz w:val="22"/>
                <w:szCs w:val="22"/>
              </w:rPr>
            </w:pPr>
            <w:r w:rsidRPr="00B96827">
              <w:rPr>
                <w:rStyle w:val="normaltextrun"/>
                <w:color w:val="000000"/>
                <w:sz w:val="22"/>
                <w:szCs w:val="22"/>
              </w:rPr>
              <w:t>NMRE’s role in tracking and verifying compliance with the 60-day federal standard.</w:t>
            </w:r>
            <w:r w:rsidRPr="00B96827">
              <w:rPr>
                <w:rStyle w:val="eop"/>
                <w:color w:val="000000"/>
                <w:sz w:val="22"/>
                <w:szCs w:val="22"/>
              </w:rPr>
              <w:t> </w:t>
            </w:r>
          </w:p>
          <w:p w14:paraId="0A18CD85" w14:textId="77777777" w:rsidR="00D03F23" w:rsidRPr="00B96827" w:rsidRDefault="00D03F23" w:rsidP="00B96827">
            <w:pPr>
              <w:pStyle w:val="paragraph"/>
              <w:numPr>
                <w:ilvl w:val="0"/>
                <w:numId w:val="39"/>
              </w:numPr>
              <w:spacing w:before="0" w:beforeAutospacing="0" w:after="0" w:afterAutospacing="0"/>
              <w:ind w:left="150" w:firstLine="0"/>
              <w:textAlignment w:val="baseline"/>
              <w:rPr>
                <w:color w:val="000000"/>
                <w:sz w:val="22"/>
                <w:szCs w:val="22"/>
              </w:rPr>
            </w:pPr>
            <w:r w:rsidRPr="00B96827">
              <w:rPr>
                <w:rStyle w:val="normaltextrun"/>
                <w:b/>
                <w:bCs/>
                <w:color w:val="000000"/>
                <w:sz w:val="22"/>
                <w:szCs w:val="22"/>
              </w:rPr>
              <w:t>Develop Centralized Tracking Process:</w:t>
            </w:r>
            <w:r w:rsidRPr="00B96827">
              <w:rPr>
                <w:rStyle w:val="scxw249963625"/>
                <w:color w:val="000000"/>
                <w:sz w:val="22"/>
                <w:szCs w:val="22"/>
              </w:rPr>
              <w:t> </w:t>
            </w:r>
            <w:r w:rsidRPr="00B96827">
              <w:rPr>
                <w:color w:val="000000"/>
                <w:sz w:val="22"/>
                <w:szCs w:val="22"/>
              </w:rPr>
              <w:br/>
            </w:r>
            <w:r w:rsidRPr="00B96827">
              <w:rPr>
                <w:rStyle w:val="normaltextrun"/>
                <w:color w:val="000000"/>
                <w:sz w:val="22"/>
                <w:szCs w:val="22"/>
              </w:rPr>
              <w:t xml:space="preserve">Create a </w:t>
            </w:r>
            <w:r w:rsidRPr="00B96827">
              <w:rPr>
                <w:rStyle w:val="normaltextrun"/>
                <w:i/>
                <w:iCs/>
                <w:color w:val="000000"/>
                <w:sz w:val="22"/>
                <w:szCs w:val="22"/>
              </w:rPr>
              <w:t>Breach Tracking Log</w:t>
            </w:r>
            <w:r w:rsidRPr="00B96827">
              <w:rPr>
                <w:rStyle w:val="normaltextrun"/>
                <w:color w:val="000000"/>
                <w:sz w:val="22"/>
                <w:szCs w:val="22"/>
              </w:rPr>
              <w:t xml:space="preserve"> to document key </w:t>
            </w:r>
            <w:proofErr w:type="gramStart"/>
            <w:r w:rsidRPr="00B96827">
              <w:rPr>
                <w:rStyle w:val="normaltextrun"/>
                <w:color w:val="000000"/>
                <w:sz w:val="22"/>
                <w:szCs w:val="22"/>
              </w:rPr>
              <w:t>dates</w:t>
            </w:r>
            <w:proofErr w:type="gramEnd"/>
            <w:r w:rsidRPr="00B96827">
              <w:rPr>
                <w:rStyle w:val="normaltextrun"/>
                <w:color w:val="000000"/>
                <w:sz w:val="22"/>
                <w:szCs w:val="22"/>
              </w:rPr>
              <w:t xml:space="preserve"> (discovery, NMRE notification, member notification, HHS/media reporting). The log will serve as NMRE’s official verification tool for ensuring timeliness of notifications.</w:t>
            </w:r>
            <w:r w:rsidRPr="00B96827">
              <w:rPr>
                <w:rStyle w:val="eop"/>
                <w:color w:val="000000"/>
                <w:sz w:val="22"/>
                <w:szCs w:val="22"/>
              </w:rPr>
              <w:t> </w:t>
            </w:r>
          </w:p>
          <w:p w14:paraId="74912B6C" w14:textId="77777777" w:rsidR="00D03F23" w:rsidRPr="00B96827" w:rsidRDefault="00D03F23" w:rsidP="00B96827">
            <w:pPr>
              <w:pStyle w:val="paragraph"/>
              <w:numPr>
                <w:ilvl w:val="0"/>
                <w:numId w:val="39"/>
              </w:numPr>
              <w:spacing w:before="0" w:beforeAutospacing="0" w:after="0" w:afterAutospacing="0"/>
              <w:ind w:left="150" w:firstLine="0"/>
              <w:textAlignment w:val="baseline"/>
              <w:rPr>
                <w:color w:val="000000"/>
                <w:sz w:val="22"/>
                <w:szCs w:val="22"/>
              </w:rPr>
            </w:pPr>
            <w:r w:rsidRPr="00B96827">
              <w:rPr>
                <w:rStyle w:val="normaltextrun"/>
                <w:b/>
                <w:bCs/>
                <w:color w:val="000000"/>
                <w:sz w:val="22"/>
                <w:szCs w:val="22"/>
              </w:rPr>
              <w:t>Formalize Oversight and Review:</w:t>
            </w:r>
            <w:r w:rsidRPr="00B96827">
              <w:rPr>
                <w:rStyle w:val="scxw249963625"/>
                <w:color w:val="000000"/>
                <w:sz w:val="22"/>
                <w:szCs w:val="22"/>
              </w:rPr>
              <w:t> </w:t>
            </w:r>
            <w:r w:rsidRPr="00B96827">
              <w:rPr>
                <w:color w:val="000000"/>
                <w:sz w:val="22"/>
                <w:szCs w:val="22"/>
              </w:rPr>
              <w:br/>
            </w:r>
            <w:r w:rsidRPr="00B96827">
              <w:rPr>
                <w:rStyle w:val="normaltextrun"/>
                <w:color w:val="000000"/>
                <w:sz w:val="22"/>
                <w:szCs w:val="22"/>
              </w:rPr>
              <w:t>Establish a quarterly review process through the Compliance Department to verify that delegate-reported breaches meet notification deadlines and that evidence is retained to demonstrate compliance.</w:t>
            </w:r>
            <w:r w:rsidRPr="00B96827">
              <w:rPr>
                <w:rStyle w:val="eop"/>
                <w:color w:val="000000"/>
                <w:sz w:val="22"/>
                <w:szCs w:val="22"/>
              </w:rPr>
              <w:t> </w:t>
            </w:r>
          </w:p>
          <w:p w14:paraId="24927CFA" w14:textId="4CC03172" w:rsidR="00156F73" w:rsidRPr="00B96827" w:rsidRDefault="00D03F23" w:rsidP="00B96827">
            <w:pPr>
              <w:pStyle w:val="paragraph"/>
              <w:spacing w:before="0" w:beforeAutospacing="0" w:after="0" w:afterAutospacing="0"/>
              <w:textAlignment w:val="baseline"/>
              <w:rPr>
                <w:rFonts w:ascii="Segoe UI" w:hAnsi="Segoe UI" w:cs="Segoe UI"/>
                <w:color w:val="000000"/>
                <w:sz w:val="22"/>
                <w:szCs w:val="22"/>
              </w:rPr>
            </w:pPr>
            <w:r w:rsidRPr="00B96827">
              <w:rPr>
                <w:rStyle w:val="normaltextrun"/>
                <w:color w:val="000000"/>
                <w:sz w:val="22"/>
                <w:szCs w:val="22"/>
              </w:rPr>
              <w:t>Through these enhancements, NMRE will ensure it can demonstrate compliance with the 60-day breach notification requirement under 45 CFR §164.404(b) and §164.412 during future audits.</w:t>
            </w:r>
            <w:r w:rsidRPr="00B96827">
              <w:rPr>
                <w:rStyle w:val="eop"/>
                <w:color w:val="000000"/>
                <w:sz w:val="22"/>
                <w:szCs w:val="22"/>
              </w:rPr>
              <w:t> </w:t>
            </w:r>
          </w:p>
        </w:tc>
      </w:tr>
      <w:tr w:rsidR="00156F73" w:rsidRPr="00FC2C0F" w14:paraId="700CDD16"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528C6BB5" w14:textId="38AC768C" w:rsidR="00156F73" w:rsidRPr="00FC2C0F" w:rsidRDefault="00156F73" w:rsidP="00156F73">
            <w:pPr>
              <w:pStyle w:val="HSAGTableText"/>
              <w:contextualSpacing/>
              <w:rPr>
                <w:bCs/>
              </w:rPr>
            </w:pPr>
            <w:r w:rsidRPr="00B30934">
              <w:rPr>
                <w:b/>
              </w:rPr>
              <w:t>Responsible Individual(s):</w:t>
            </w:r>
            <w:r>
              <w:rPr>
                <w:bCs/>
              </w:rPr>
              <w:t xml:space="preserve"> </w:t>
            </w:r>
            <w:r w:rsidR="00D03F23" w:rsidRPr="00D03F23">
              <w:rPr>
                <w:bCs/>
              </w:rPr>
              <w:t>Brie Molaison, Compliance and Customer Services Officer</w:t>
            </w:r>
          </w:p>
        </w:tc>
      </w:tr>
      <w:tr w:rsidR="00156F73" w:rsidRPr="00FC2C0F" w14:paraId="35BBA5CF"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auto"/>
            </w:tcBorders>
          </w:tcPr>
          <w:p w14:paraId="0347B076" w14:textId="77777777" w:rsidR="00D03F23" w:rsidRDefault="00156F73" w:rsidP="00D03F23">
            <w:pPr>
              <w:pStyle w:val="paragraph"/>
              <w:spacing w:before="0" w:beforeAutospacing="0" w:after="0" w:afterAutospacing="0"/>
              <w:textAlignment w:val="baseline"/>
              <w:rPr>
                <w:rFonts w:ascii="Segoe UI" w:hAnsi="Segoe UI" w:cs="Segoe UI"/>
                <w:color w:val="000000"/>
                <w:sz w:val="18"/>
                <w:szCs w:val="18"/>
              </w:rPr>
            </w:pPr>
            <w:r w:rsidRPr="00B30934">
              <w:rPr>
                <w:b/>
              </w:rPr>
              <w:t>Timeline:</w:t>
            </w:r>
            <w:r>
              <w:rPr>
                <w:bCs/>
              </w:rPr>
              <w:t xml:space="preserve"> </w:t>
            </w:r>
            <w:r w:rsidR="00D03F23">
              <w:rPr>
                <w:rStyle w:val="normaltextrun"/>
                <w:color w:val="000000"/>
                <w:sz w:val="22"/>
                <w:szCs w:val="22"/>
              </w:rPr>
              <w:t>Draft Section N and Delegate Breach Report Form: February 2026</w:t>
            </w:r>
            <w:r w:rsidR="00D03F23">
              <w:rPr>
                <w:rStyle w:val="eop"/>
                <w:color w:val="000000"/>
                <w:sz w:val="22"/>
                <w:szCs w:val="22"/>
              </w:rPr>
              <w:t> </w:t>
            </w:r>
          </w:p>
          <w:p w14:paraId="70495184" w14:textId="77777777" w:rsidR="00D03F23" w:rsidRDefault="00D03F23" w:rsidP="00D03F23">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sz w:val="22"/>
                <w:szCs w:val="22"/>
              </w:rPr>
              <w:t>Adopt updated Breach Notification Policy: March 2026</w:t>
            </w:r>
            <w:r>
              <w:rPr>
                <w:rStyle w:val="eop"/>
                <w:color w:val="000000"/>
                <w:sz w:val="22"/>
                <w:szCs w:val="22"/>
              </w:rPr>
              <w:t> </w:t>
            </w:r>
          </w:p>
          <w:p w14:paraId="388A8922" w14:textId="0435CDB7" w:rsidR="00156F73" w:rsidRPr="00B96827" w:rsidRDefault="00D03F23" w:rsidP="00B96827">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sz w:val="22"/>
                <w:szCs w:val="22"/>
              </w:rPr>
              <w:t>Begin quarterly oversight tracking and delegate reporting: April 2026</w:t>
            </w:r>
            <w:r>
              <w:rPr>
                <w:rStyle w:val="eop"/>
                <w:color w:val="000000"/>
                <w:sz w:val="22"/>
                <w:szCs w:val="22"/>
              </w:rPr>
              <w:t> </w:t>
            </w:r>
          </w:p>
        </w:tc>
      </w:tr>
      <w:tr w:rsidR="00156F73" w14:paraId="3C9450F7" w14:textId="77777777" w:rsidTr="0065503C">
        <w:tblPrEx>
          <w:tblCellMar>
            <w:left w:w="108" w:type="dxa"/>
            <w:right w:w="108" w:type="dxa"/>
          </w:tblCellMar>
        </w:tblPrEx>
        <w:trPr>
          <w:trHeight w:val="374"/>
          <w:jc w:val="center"/>
        </w:trPr>
        <w:tc>
          <w:tcPr>
            <w:tcW w:w="10432" w:type="dxa"/>
            <w:gridSpan w:val="3"/>
            <w:tcBorders>
              <w:top w:val="single" w:sz="4" w:space="0" w:color="auto"/>
              <w:bottom w:val="single" w:sz="18" w:space="0" w:color="00549E" w:themeColor="text2"/>
            </w:tcBorders>
            <w:shd w:val="clear" w:color="auto" w:fill="F2F2F2" w:themeFill="background1" w:themeFillShade="F2"/>
          </w:tcPr>
          <w:p w14:paraId="7AD4C279" w14:textId="21BC644F" w:rsidR="00156F73" w:rsidRPr="00FC2C0F" w:rsidRDefault="00156F73" w:rsidP="00156F73">
            <w:pPr>
              <w:pStyle w:val="HSAGTableText"/>
              <w:contextualSpacing/>
              <w:rPr>
                <w:bCs/>
              </w:rPr>
            </w:pPr>
            <w:r>
              <w:rPr>
                <w:b/>
              </w:rPr>
              <w:t>MDHHS/HSAG Response:</w:t>
            </w:r>
            <w:r>
              <w:rPr>
                <w:bCs/>
              </w:rPr>
              <w:t xml:space="preserve"> </w:t>
            </w:r>
            <w:r w:rsidR="00595A8D" w:rsidRPr="00595A8D">
              <w:rPr>
                <w:bCs/>
              </w:rPr>
              <w:t xml:space="preserve">The PIHP’s remediation plan is sufficient to ensure compliance with the requirements for this program area. While no additional information is required to be submitted at this time, the PIHP must proceed with </w:t>
            </w:r>
            <w:proofErr w:type="gramStart"/>
            <w:r w:rsidR="00595A8D" w:rsidRPr="00595A8D">
              <w:rPr>
                <w:bCs/>
              </w:rPr>
              <w:t>timely</w:t>
            </w:r>
            <w:proofErr w:type="gramEnd"/>
            <w:r w:rsidR="00595A8D" w:rsidRPr="00595A8D">
              <w:rPr>
                <w:bCs/>
              </w:rPr>
              <w:t xml:space="preserve"> implementation of its action plans. Please note, an </w:t>
            </w:r>
            <w:r w:rsidR="00595A8D" w:rsidRPr="00595A8D">
              <w:rPr>
                <w:bCs/>
                <w:i/>
                <w:iCs/>
              </w:rPr>
              <w:t>Accepted</w:t>
            </w:r>
            <w:r w:rsidR="00595A8D" w:rsidRPr="00595A8D">
              <w:rPr>
                <w:bCs/>
              </w:rPr>
              <w:t xml:space="preserve"> designation is not a guarantee of future compliance. Implementation of the PIHP’s action plans and demonstration of compliance will be assessed during future compliance review activities.</w:t>
            </w:r>
          </w:p>
        </w:tc>
        <w:tc>
          <w:tcPr>
            <w:tcW w:w="3579" w:type="dxa"/>
            <w:gridSpan w:val="2"/>
            <w:tcBorders>
              <w:top w:val="single" w:sz="4" w:space="0" w:color="auto"/>
              <w:bottom w:val="single" w:sz="18" w:space="0" w:color="00549E" w:themeColor="text2"/>
            </w:tcBorders>
            <w:shd w:val="clear" w:color="auto" w:fill="F2F2F2" w:themeFill="background1" w:themeFillShade="F2"/>
          </w:tcPr>
          <w:p w14:paraId="4F3598B6" w14:textId="0054AB87" w:rsidR="00156F73" w:rsidRPr="00C123EE" w:rsidRDefault="00000000" w:rsidP="00156F73">
            <w:pPr>
              <w:pStyle w:val="HSAGTableText"/>
              <w:contextualSpacing/>
              <w:rPr>
                <w:bCs/>
              </w:rPr>
            </w:pPr>
            <w:sdt>
              <w:sdtPr>
                <w:rPr>
                  <w:bCs/>
                </w:rPr>
                <w:id w:val="1624652018"/>
                <w14:checkbox>
                  <w14:checked w14:val="1"/>
                  <w14:checkedState w14:val="2612" w14:font="MS Gothic"/>
                  <w14:uncheckedState w14:val="2610" w14:font="MS Gothic"/>
                </w14:checkbox>
              </w:sdtPr>
              <w:sdtContent>
                <w:r w:rsidR="00595A8D">
                  <w:rPr>
                    <w:rFonts w:ascii="MS Gothic" w:eastAsia="MS Gothic" w:hAnsi="MS Gothic" w:hint="eastAsia"/>
                    <w:bCs/>
                  </w:rPr>
                  <w:t>☒</w:t>
                </w:r>
              </w:sdtContent>
            </w:sdt>
            <w:r w:rsidR="00156F73" w:rsidRPr="00C123EE">
              <w:rPr>
                <w:bCs/>
              </w:rPr>
              <w:t xml:space="preserve"> Accepted</w:t>
            </w:r>
          </w:p>
          <w:p w14:paraId="56306897" w14:textId="77777777" w:rsidR="00156F73" w:rsidRPr="00C123EE" w:rsidRDefault="00000000" w:rsidP="00156F73">
            <w:pPr>
              <w:pStyle w:val="HSAGTableText"/>
              <w:contextualSpacing/>
              <w:rPr>
                <w:bCs/>
              </w:rPr>
            </w:pPr>
            <w:sdt>
              <w:sdtPr>
                <w:rPr>
                  <w:bCs/>
                </w:rPr>
                <w:id w:val="-592396557"/>
                <w14:checkbox>
                  <w14:checked w14:val="0"/>
                  <w14:checkedState w14:val="2612" w14:font="MS Gothic"/>
                  <w14:uncheckedState w14:val="2610" w14:font="MS Gothic"/>
                </w14:checkbox>
              </w:sdtPr>
              <w:sdtContent>
                <w:r w:rsidR="00156F73" w:rsidRPr="00C123EE">
                  <w:rPr>
                    <w:rFonts w:ascii="MS Gothic" w:eastAsia="MS Gothic" w:hAnsi="MS Gothic" w:hint="eastAsia"/>
                    <w:bCs/>
                  </w:rPr>
                  <w:t>☐</w:t>
                </w:r>
              </w:sdtContent>
            </w:sdt>
            <w:r w:rsidR="00156F73" w:rsidRPr="00C123EE">
              <w:rPr>
                <w:bCs/>
              </w:rPr>
              <w:t xml:space="preserve"> Accepted </w:t>
            </w:r>
            <w:r w:rsidR="00156F73">
              <w:rPr>
                <w:bCs/>
              </w:rPr>
              <w:t>W</w:t>
            </w:r>
            <w:r w:rsidR="00156F73" w:rsidRPr="00C123EE">
              <w:rPr>
                <w:bCs/>
              </w:rPr>
              <w:t>ith Recommendations</w:t>
            </w:r>
          </w:p>
          <w:p w14:paraId="1A2946F8" w14:textId="77777777" w:rsidR="00156F73" w:rsidRDefault="00000000" w:rsidP="00156F73">
            <w:pPr>
              <w:pStyle w:val="HSAGTableText"/>
              <w:contextualSpacing/>
              <w:rPr>
                <w:b/>
              </w:rPr>
            </w:pPr>
            <w:sdt>
              <w:sdtPr>
                <w:rPr>
                  <w:bCs/>
                </w:rPr>
                <w:id w:val="-495801436"/>
                <w14:checkbox>
                  <w14:checked w14:val="0"/>
                  <w14:checkedState w14:val="2612" w14:font="MS Gothic"/>
                  <w14:uncheckedState w14:val="2610" w14:font="MS Gothic"/>
                </w14:checkbox>
              </w:sdtPr>
              <w:sdtContent>
                <w:r w:rsidR="00156F73" w:rsidRPr="00C123EE">
                  <w:rPr>
                    <w:rFonts w:ascii="MS Gothic" w:eastAsia="MS Gothic" w:hAnsi="MS Gothic" w:hint="eastAsia"/>
                    <w:bCs/>
                  </w:rPr>
                  <w:t>☐</w:t>
                </w:r>
              </w:sdtContent>
            </w:sdt>
            <w:r w:rsidR="00156F73" w:rsidRPr="00C123EE">
              <w:rPr>
                <w:bCs/>
              </w:rPr>
              <w:t xml:space="preserve"> Not Accepted</w:t>
            </w:r>
          </w:p>
        </w:tc>
      </w:tr>
      <w:tr w:rsidR="00156F73" w:rsidRPr="00903F99" w14:paraId="084A5177" w14:textId="77777777" w:rsidTr="00B96827">
        <w:trPr>
          <w:trHeight w:val="374"/>
          <w:jc w:val="center"/>
        </w:trPr>
        <w:tc>
          <w:tcPr>
            <w:tcW w:w="6745" w:type="dxa"/>
            <w:gridSpan w:val="2"/>
            <w:vMerge w:val="restart"/>
          </w:tcPr>
          <w:p w14:paraId="3DD3AE02" w14:textId="77777777" w:rsidR="00156F73" w:rsidRPr="001408D5" w:rsidRDefault="00156F73" w:rsidP="00156F73">
            <w:pPr>
              <w:pStyle w:val="ListNoNum"/>
              <w:keepNext/>
              <w:rPr>
                <w:i/>
                <w:iCs/>
                <w:sz w:val="18"/>
                <w:szCs w:val="18"/>
              </w:rPr>
            </w:pPr>
            <w:r w:rsidRPr="001408D5">
              <w:rPr>
                <w:iCs/>
                <w:spacing w:val="-4"/>
              </w:rPr>
              <w:lastRenderedPageBreak/>
              <w:t>15.</w:t>
            </w:r>
            <w:r w:rsidRPr="001408D5">
              <w:rPr>
                <w:iCs/>
                <w:spacing w:val="-4"/>
              </w:rPr>
              <w:tab/>
            </w:r>
            <w:r w:rsidRPr="001408D5">
              <w:rPr>
                <w:iCs/>
              </w:rPr>
              <w:t>The notification (to individuals, and to media outlets, if required) must be written in plain language and include, to the extent possible:</w:t>
            </w:r>
          </w:p>
          <w:p w14:paraId="7CC75897" w14:textId="77777777" w:rsidR="00156F73" w:rsidRPr="001408D5" w:rsidRDefault="00156F73" w:rsidP="00156F73">
            <w:pPr>
              <w:pStyle w:val="ListNoNum2"/>
              <w:ind w:left="692"/>
              <w:rPr>
                <w:i/>
                <w:iCs/>
                <w:sz w:val="18"/>
                <w:szCs w:val="18"/>
              </w:rPr>
            </w:pPr>
            <w:r w:rsidRPr="001408D5">
              <w:rPr>
                <w:iCs/>
              </w:rPr>
              <w:t>a</w:t>
            </w:r>
            <w:proofErr w:type="gramStart"/>
            <w:r w:rsidRPr="001408D5">
              <w:rPr>
                <w:iCs/>
              </w:rPr>
              <w:t xml:space="preserve">. </w:t>
            </w:r>
            <w:r w:rsidRPr="001408D5">
              <w:rPr>
                <w:iCs/>
              </w:rPr>
              <w:tab/>
              <w:t>A</w:t>
            </w:r>
            <w:proofErr w:type="gramEnd"/>
            <w:r w:rsidRPr="001408D5">
              <w:rPr>
                <w:iCs/>
              </w:rPr>
              <w:t xml:space="preserve"> brief description of what happened, including the date of the breach and the date of the discovery of the breach, if known.</w:t>
            </w:r>
          </w:p>
          <w:p w14:paraId="069E9F35" w14:textId="77777777" w:rsidR="00156F73" w:rsidRPr="001408D5" w:rsidRDefault="00156F73" w:rsidP="00156F73">
            <w:pPr>
              <w:pStyle w:val="ListNoNum2"/>
              <w:ind w:left="692"/>
              <w:rPr>
                <w:i/>
                <w:iCs/>
                <w:sz w:val="18"/>
                <w:szCs w:val="18"/>
              </w:rPr>
            </w:pPr>
            <w:r w:rsidRPr="001408D5">
              <w:rPr>
                <w:iCs/>
              </w:rPr>
              <w:t>b</w:t>
            </w:r>
            <w:proofErr w:type="gramStart"/>
            <w:r w:rsidRPr="001408D5">
              <w:rPr>
                <w:iCs/>
              </w:rPr>
              <w:t xml:space="preserve">. </w:t>
            </w:r>
            <w:r w:rsidRPr="001408D5">
              <w:rPr>
                <w:iCs/>
              </w:rPr>
              <w:tab/>
              <w:t>A</w:t>
            </w:r>
            <w:proofErr w:type="gramEnd"/>
            <w:r w:rsidRPr="001408D5">
              <w:rPr>
                <w:iCs/>
              </w:rPr>
              <w:t xml:space="preserve"> description of the types of unsecured PHI that were involved in the breach (such as whether full name, social security number, date of birth, home address, account number, diagnosis, disability code, or other types of information were involved).</w:t>
            </w:r>
          </w:p>
          <w:p w14:paraId="0E4E5B98" w14:textId="77777777" w:rsidR="00156F73" w:rsidRPr="001408D5" w:rsidRDefault="00156F73" w:rsidP="00156F73">
            <w:pPr>
              <w:pStyle w:val="ListNoNum2"/>
              <w:ind w:left="692"/>
              <w:rPr>
                <w:i/>
                <w:iCs/>
                <w:sz w:val="18"/>
                <w:szCs w:val="18"/>
              </w:rPr>
            </w:pPr>
            <w:r w:rsidRPr="001408D5">
              <w:rPr>
                <w:iCs/>
              </w:rPr>
              <w:t>c</w:t>
            </w:r>
            <w:proofErr w:type="gramStart"/>
            <w:r w:rsidRPr="001408D5">
              <w:rPr>
                <w:iCs/>
              </w:rPr>
              <w:t xml:space="preserve">. </w:t>
            </w:r>
            <w:r w:rsidRPr="001408D5">
              <w:rPr>
                <w:iCs/>
              </w:rPr>
              <w:tab/>
              <w:t>Any</w:t>
            </w:r>
            <w:proofErr w:type="gramEnd"/>
            <w:r w:rsidRPr="001408D5">
              <w:rPr>
                <w:iCs/>
              </w:rPr>
              <w:t xml:space="preserve"> steps individuals should take to protect themselves from potential harm resulting from the breach.</w:t>
            </w:r>
          </w:p>
          <w:p w14:paraId="6F1C978E" w14:textId="77777777" w:rsidR="00156F73" w:rsidRPr="001408D5" w:rsidRDefault="00156F73" w:rsidP="00156F73">
            <w:pPr>
              <w:pStyle w:val="ListNoNum2"/>
              <w:ind w:left="692"/>
              <w:rPr>
                <w:i/>
                <w:iCs/>
                <w:sz w:val="18"/>
                <w:szCs w:val="18"/>
              </w:rPr>
            </w:pPr>
            <w:r w:rsidRPr="001408D5">
              <w:rPr>
                <w:iCs/>
              </w:rPr>
              <w:t>d</w:t>
            </w:r>
            <w:proofErr w:type="gramStart"/>
            <w:r w:rsidRPr="001408D5">
              <w:rPr>
                <w:iCs/>
              </w:rPr>
              <w:t xml:space="preserve">. </w:t>
            </w:r>
            <w:r w:rsidRPr="001408D5">
              <w:rPr>
                <w:iCs/>
              </w:rPr>
              <w:tab/>
              <w:t>A</w:t>
            </w:r>
            <w:proofErr w:type="gramEnd"/>
            <w:r w:rsidRPr="001408D5">
              <w:rPr>
                <w:iCs/>
              </w:rPr>
              <w:t xml:space="preserve"> brief description of what the PIHP is doing to investigate the breach, to mitigate harm to individuals, and to protect against any further breaches.</w:t>
            </w:r>
          </w:p>
          <w:p w14:paraId="36EF0B69" w14:textId="77777777" w:rsidR="00156F73" w:rsidRPr="001408D5" w:rsidRDefault="00156F73" w:rsidP="00156F73">
            <w:pPr>
              <w:pStyle w:val="ListNoNum2"/>
              <w:ind w:left="692"/>
              <w:rPr>
                <w:sz w:val="18"/>
                <w:szCs w:val="18"/>
              </w:rPr>
            </w:pPr>
            <w:r w:rsidRPr="001408D5">
              <w:rPr>
                <w:iCs/>
              </w:rPr>
              <w:t>e</w:t>
            </w:r>
            <w:proofErr w:type="gramStart"/>
            <w:r w:rsidRPr="001408D5">
              <w:rPr>
                <w:iCs/>
              </w:rPr>
              <w:t xml:space="preserve">. </w:t>
            </w:r>
            <w:r w:rsidRPr="001408D5">
              <w:rPr>
                <w:iCs/>
              </w:rPr>
              <w:tab/>
              <w:t>Contact</w:t>
            </w:r>
            <w:proofErr w:type="gramEnd"/>
            <w:r w:rsidRPr="001408D5">
              <w:rPr>
                <w:iCs/>
              </w:rPr>
              <w:t xml:space="preserve"> procedures for individuals to ask questions or learn additional information, which </w:t>
            </w:r>
            <w:proofErr w:type="gramStart"/>
            <w:r w:rsidRPr="001408D5">
              <w:rPr>
                <w:iCs/>
              </w:rPr>
              <w:t>shall</w:t>
            </w:r>
            <w:proofErr w:type="gramEnd"/>
            <w:r w:rsidRPr="001408D5">
              <w:rPr>
                <w:iCs/>
              </w:rPr>
              <w:t xml:space="preserve"> include a toll-free telephone number, an email address, web site, or postal address.</w:t>
            </w:r>
          </w:p>
          <w:p w14:paraId="0B95997C" w14:textId="77777777" w:rsidR="00156F73" w:rsidRPr="001408D5" w:rsidRDefault="00156F73" w:rsidP="00156F73">
            <w:pPr>
              <w:pStyle w:val="HSAGTableContracttext"/>
            </w:pPr>
          </w:p>
          <w:p w14:paraId="052DD177" w14:textId="77777777" w:rsidR="00156F73" w:rsidRPr="001408D5" w:rsidRDefault="00156F73" w:rsidP="00156F73">
            <w:pPr>
              <w:pStyle w:val="HSAGTableContracttext"/>
              <w:rPr>
                <w:i/>
              </w:rPr>
            </w:pPr>
            <w:r w:rsidRPr="001408D5">
              <w:t>45 CFR §164.404(c)</w:t>
            </w:r>
          </w:p>
          <w:p w14:paraId="20F2E867" w14:textId="49C9642C" w:rsidR="00156F73" w:rsidRPr="00903F99" w:rsidRDefault="00156F73" w:rsidP="00156F73">
            <w:pPr>
              <w:pStyle w:val="HSAGTableContracttext"/>
              <w:keepNext/>
              <w:spacing w:before="0" w:after="0"/>
              <w:ind w:left="1440"/>
              <w:contextualSpacing/>
              <w:rPr>
                <w:i/>
                <w:szCs w:val="18"/>
              </w:rPr>
            </w:pPr>
            <w:r w:rsidRPr="001408D5">
              <w:t>45 CFR §164.406(c)</w:t>
            </w:r>
          </w:p>
        </w:tc>
        <w:tc>
          <w:tcPr>
            <w:tcW w:w="5840" w:type="dxa"/>
            <w:gridSpan w:val="2"/>
            <w:shd w:val="clear" w:color="auto" w:fill="FFFFFF" w:themeFill="background1"/>
          </w:tcPr>
          <w:p w14:paraId="4E14D0B0" w14:textId="77777777" w:rsidR="00156F73" w:rsidRPr="001408D5" w:rsidRDefault="00156F73" w:rsidP="00156F73">
            <w:pPr>
              <w:pStyle w:val="HSAGTableText"/>
              <w:contextualSpacing/>
              <w:rPr>
                <w:b/>
                <w:bCs/>
              </w:rPr>
            </w:pPr>
            <w:r w:rsidRPr="001408D5">
              <w:rPr>
                <w:b/>
                <w:bCs/>
              </w:rPr>
              <w:t>HSAG Required Evidence:</w:t>
            </w:r>
          </w:p>
          <w:p w14:paraId="0F96CE93" w14:textId="77777777" w:rsidR="00156F73" w:rsidRPr="001408D5" w:rsidRDefault="00156F73" w:rsidP="00595A8D">
            <w:pPr>
              <w:pStyle w:val="HSAGTableText"/>
              <w:numPr>
                <w:ilvl w:val="0"/>
                <w:numId w:val="19"/>
              </w:numPr>
              <w:contextualSpacing/>
            </w:pPr>
            <w:r w:rsidRPr="001408D5">
              <w:t>Policies and procedures</w:t>
            </w:r>
          </w:p>
          <w:p w14:paraId="277FA0B1" w14:textId="77777777" w:rsidR="00156F73" w:rsidRPr="001408D5" w:rsidRDefault="00156F73" w:rsidP="00595A8D">
            <w:pPr>
              <w:pStyle w:val="HSAGTableText"/>
              <w:numPr>
                <w:ilvl w:val="0"/>
                <w:numId w:val="19"/>
              </w:numPr>
              <w:contextualSpacing/>
            </w:pPr>
            <w:r w:rsidRPr="001408D5">
              <w:t>Breach notification letter template</w:t>
            </w:r>
          </w:p>
          <w:p w14:paraId="66445E1F" w14:textId="77777777" w:rsidR="00156F73" w:rsidRPr="001408D5" w:rsidRDefault="00156F73" w:rsidP="00595A8D">
            <w:pPr>
              <w:pStyle w:val="HSAGTableText"/>
              <w:numPr>
                <w:ilvl w:val="0"/>
                <w:numId w:val="19"/>
              </w:numPr>
              <w:contextualSpacing/>
            </w:pPr>
            <w:r w:rsidRPr="001408D5">
              <w:t>Reading grade level of breach notification letter template</w:t>
            </w:r>
          </w:p>
          <w:p w14:paraId="719A2EEA" w14:textId="77777777" w:rsidR="00156F73" w:rsidRDefault="00156F73" w:rsidP="00595A8D">
            <w:pPr>
              <w:pStyle w:val="HSAGTableText"/>
              <w:numPr>
                <w:ilvl w:val="0"/>
                <w:numId w:val="19"/>
              </w:numPr>
              <w:contextualSpacing/>
            </w:pPr>
            <w:r w:rsidRPr="001408D5">
              <w:t>Three examples of breach notification letters to members</w:t>
            </w:r>
          </w:p>
          <w:p w14:paraId="21CA74A3" w14:textId="1056EBA1" w:rsidR="00156F73" w:rsidRPr="00903F99" w:rsidRDefault="00156F73" w:rsidP="00595A8D">
            <w:pPr>
              <w:pStyle w:val="HSAGTableText"/>
              <w:numPr>
                <w:ilvl w:val="0"/>
                <w:numId w:val="19"/>
              </w:numPr>
              <w:contextualSpacing/>
            </w:pPr>
            <w:r w:rsidRPr="001408D5">
              <w:t>One example of notification to media outlet, if applicable during the review period</w:t>
            </w:r>
          </w:p>
        </w:tc>
        <w:tc>
          <w:tcPr>
            <w:tcW w:w="1426" w:type="dxa"/>
            <w:vMerge w:val="restart"/>
            <w:shd w:val="clear" w:color="auto" w:fill="FFFFFF" w:themeFill="background1"/>
          </w:tcPr>
          <w:p w14:paraId="4DF5A03F" w14:textId="77777777" w:rsidR="00156F73" w:rsidRPr="001408D5" w:rsidRDefault="00000000" w:rsidP="00156F73">
            <w:pPr>
              <w:spacing w:before="60" w:after="0"/>
              <w:contextualSpacing/>
              <w:rPr>
                <w:sz w:val="22"/>
              </w:rPr>
            </w:pPr>
            <w:sdt>
              <w:sdtPr>
                <w:rPr>
                  <w:sz w:val="22"/>
                </w:rPr>
                <w:id w:val="-138339150"/>
                <w14:checkbox>
                  <w14:checked w14:val="0"/>
                  <w14:checkedState w14:val="2612" w14:font="MS Gothic"/>
                  <w14:uncheckedState w14:val="2610" w14:font="MS Gothic"/>
                </w14:checkbox>
              </w:sdtPr>
              <w:sdtContent>
                <w:r w:rsidR="00156F73" w:rsidRPr="001408D5">
                  <w:rPr>
                    <w:rFonts w:ascii="MS Gothic" w:eastAsia="MS Gothic" w:hAnsi="MS Gothic" w:hint="eastAsia"/>
                    <w:sz w:val="22"/>
                  </w:rPr>
                  <w:t>☐</w:t>
                </w:r>
              </w:sdtContent>
            </w:sdt>
            <w:r w:rsidR="00156F73" w:rsidRPr="001408D5">
              <w:rPr>
                <w:sz w:val="22"/>
              </w:rPr>
              <w:t xml:space="preserve"> Met</w:t>
            </w:r>
          </w:p>
          <w:p w14:paraId="631176B6" w14:textId="77777777" w:rsidR="00156F73" w:rsidRPr="001408D5" w:rsidRDefault="00000000" w:rsidP="00156F73">
            <w:pPr>
              <w:spacing w:before="60" w:after="0"/>
              <w:contextualSpacing/>
              <w:rPr>
                <w:sz w:val="22"/>
              </w:rPr>
            </w:pPr>
            <w:sdt>
              <w:sdtPr>
                <w:rPr>
                  <w:sz w:val="22"/>
                </w:rPr>
                <w:id w:val="729426008"/>
                <w14:checkbox>
                  <w14:checked w14:val="1"/>
                  <w14:checkedState w14:val="2612" w14:font="MS Gothic"/>
                  <w14:uncheckedState w14:val="2610" w14:font="MS Gothic"/>
                </w14:checkbox>
              </w:sdtPr>
              <w:sdtContent>
                <w:r w:rsidR="00156F73" w:rsidRPr="001408D5">
                  <w:rPr>
                    <w:rFonts w:ascii="MS Gothic" w:eastAsia="MS Gothic" w:hAnsi="MS Gothic" w:hint="eastAsia"/>
                    <w:sz w:val="22"/>
                  </w:rPr>
                  <w:t>☒</w:t>
                </w:r>
              </w:sdtContent>
            </w:sdt>
            <w:r w:rsidR="00156F73" w:rsidRPr="001408D5">
              <w:rPr>
                <w:sz w:val="22"/>
              </w:rPr>
              <w:t xml:space="preserve"> Not Met</w:t>
            </w:r>
          </w:p>
          <w:p w14:paraId="6EE9540C" w14:textId="30041E8D" w:rsidR="00156F73" w:rsidRPr="00903F99" w:rsidRDefault="00000000" w:rsidP="00156F73">
            <w:pPr>
              <w:spacing w:before="0" w:after="0"/>
              <w:contextualSpacing/>
              <w:rPr>
                <w:sz w:val="22"/>
              </w:rPr>
            </w:pPr>
            <w:sdt>
              <w:sdtPr>
                <w:rPr>
                  <w:sz w:val="22"/>
                </w:rPr>
                <w:id w:val="-192230056"/>
                <w14:checkbox>
                  <w14:checked w14:val="0"/>
                  <w14:checkedState w14:val="2612" w14:font="MS Gothic"/>
                  <w14:uncheckedState w14:val="2610" w14:font="MS Gothic"/>
                </w14:checkbox>
              </w:sdtPr>
              <w:sdtContent>
                <w:r w:rsidR="00156F73" w:rsidRPr="001408D5">
                  <w:rPr>
                    <w:rFonts w:ascii="MS Gothic" w:eastAsia="MS Gothic" w:hAnsi="MS Gothic" w:hint="eastAsia"/>
                    <w:sz w:val="22"/>
                  </w:rPr>
                  <w:t>☐</w:t>
                </w:r>
              </w:sdtContent>
            </w:sdt>
            <w:r w:rsidR="00156F73" w:rsidRPr="001408D5">
              <w:rPr>
                <w:sz w:val="22"/>
              </w:rPr>
              <w:t xml:space="preserve"> NA</w:t>
            </w:r>
          </w:p>
        </w:tc>
      </w:tr>
      <w:tr w:rsidR="00156F73" w:rsidRPr="00903F99" w14:paraId="78406CE3" w14:textId="77777777" w:rsidTr="00B96827">
        <w:trPr>
          <w:trHeight w:val="374"/>
          <w:jc w:val="center"/>
        </w:trPr>
        <w:tc>
          <w:tcPr>
            <w:tcW w:w="6745" w:type="dxa"/>
            <w:gridSpan w:val="2"/>
            <w:vMerge/>
          </w:tcPr>
          <w:p w14:paraId="2623F482" w14:textId="77777777" w:rsidR="00156F73" w:rsidRPr="00903F99" w:rsidRDefault="00156F73" w:rsidP="00595A8D">
            <w:pPr>
              <w:pStyle w:val="HSAGNumbers"/>
              <w:numPr>
                <w:ilvl w:val="0"/>
                <w:numId w:val="16"/>
              </w:numPr>
              <w:spacing w:before="0" w:after="0"/>
              <w:contextualSpacing/>
            </w:pPr>
          </w:p>
        </w:tc>
        <w:tc>
          <w:tcPr>
            <w:tcW w:w="5840" w:type="dxa"/>
            <w:gridSpan w:val="2"/>
            <w:shd w:val="clear" w:color="auto" w:fill="FFFFFF" w:themeFill="background1"/>
          </w:tcPr>
          <w:p w14:paraId="2914D96C" w14:textId="77777777" w:rsidR="00156F73" w:rsidRPr="001408D5" w:rsidRDefault="00156F73" w:rsidP="00156F73">
            <w:pPr>
              <w:pStyle w:val="HSAGTableText"/>
              <w:contextualSpacing/>
              <w:rPr>
                <w:b/>
                <w:bCs/>
              </w:rPr>
            </w:pPr>
            <w:r w:rsidRPr="001408D5">
              <w:rPr>
                <w:b/>
                <w:bCs/>
              </w:rPr>
              <w:t>Evidence as Submitted by the PIHP:</w:t>
            </w:r>
          </w:p>
          <w:p w14:paraId="1FE5C1AE" w14:textId="77777777" w:rsidR="00156F73" w:rsidRPr="001408D5" w:rsidRDefault="00156F73" w:rsidP="00595A8D">
            <w:pPr>
              <w:pStyle w:val="HSAGTableText"/>
              <w:numPr>
                <w:ilvl w:val="0"/>
                <w:numId w:val="22"/>
              </w:numPr>
              <w:contextualSpacing/>
            </w:pPr>
            <w:r w:rsidRPr="001408D5">
              <w:t>S8_E15_Breach Notification page 2 of 10</w:t>
            </w:r>
          </w:p>
          <w:p w14:paraId="4C43E197" w14:textId="77777777" w:rsidR="00156F73" w:rsidRPr="001408D5" w:rsidRDefault="00156F73" w:rsidP="00595A8D">
            <w:pPr>
              <w:pStyle w:val="HSAGTableText"/>
              <w:numPr>
                <w:ilvl w:val="0"/>
                <w:numId w:val="22"/>
              </w:numPr>
              <w:contextualSpacing/>
            </w:pPr>
            <w:r w:rsidRPr="001408D5">
              <w:t>S8_E15_Screenshot Template Reading Level</w:t>
            </w:r>
          </w:p>
          <w:p w14:paraId="63322C3B" w14:textId="77777777" w:rsidR="00156F73" w:rsidRPr="001408D5" w:rsidRDefault="00156F73" w:rsidP="00595A8D">
            <w:pPr>
              <w:pStyle w:val="HSAGTableText"/>
              <w:numPr>
                <w:ilvl w:val="0"/>
                <w:numId w:val="22"/>
              </w:numPr>
              <w:contextualSpacing/>
            </w:pPr>
            <w:r w:rsidRPr="001408D5">
              <w:t>S8_E11_E15_Breach Notification Template CMHSP</w:t>
            </w:r>
          </w:p>
          <w:p w14:paraId="16D7AD20" w14:textId="77777777" w:rsidR="00156F73" w:rsidRPr="001408D5" w:rsidRDefault="00156F73" w:rsidP="00595A8D">
            <w:pPr>
              <w:pStyle w:val="HSAGTableText"/>
              <w:numPr>
                <w:ilvl w:val="0"/>
                <w:numId w:val="22"/>
              </w:numPr>
              <w:contextualSpacing/>
            </w:pPr>
            <w:r w:rsidRPr="001408D5">
              <w:t>S8_E14_E15_Breach Notification Example 1</w:t>
            </w:r>
          </w:p>
          <w:p w14:paraId="6B19685C" w14:textId="77777777" w:rsidR="00156F73" w:rsidRPr="001408D5" w:rsidRDefault="00156F73" w:rsidP="00595A8D">
            <w:pPr>
              <w:pStyle w:val="HSAGTableText"/>
              <w:numPr>
                <w:ilvl w:val="0"/>
                <w:numId w:val="22"/>
              </w:numPr>
              <w:contextualSpacing/>
            </w:pPr>
            <w:r w:rsidRPr="001408D5">
              <w:t>S8_E14_Breach Notification Ex. 2</w:t>
            </w:r>
          </w:p>
          <w:p w14:paraId="48C5730E" w14:textId="77777777" w:rsidR="00156F73" w:rsidRPr="001408D5" w:rsidRDefault="00156F73" w:rsidP="00595A8D">
            <w:pPr>
              <w:pStyle w:val="HSAGTableText"/>
              <w:numPr>
                <w:ilvl w:val="0"/>
                <w:numId w:val="22"/>
              </w:numPr>
              <w:contextualSpacing/>
            </w:pPr>
            <w:r w:rsidRPr="001408D5">
              <w:t>S8_E14_E15_Breach Notification Example 3</w:t>
            </w:r>
          </w:p>
          <w:p w14:paraId="4C67F47F" w14:textId="77777777" w:rsidR="00156F73" w:rsidRPr="00903F99" w:rsidRDefault="00156F73" w:rsidP="00156F73">
            <w:pPr>
              <w:pStyle w:val="HSAGTableBullet1"/>
              <w:numPr>
                <w:ilvl w:val="0"/>
                <w:numId w:val="0"/>
              </w:numPr>
              <w:ind w:left="247" w:hanging="247"/>
            </w:pPr>
          </w:p>
        </w:tc>
        <w:tc>
          <w:tcPr>
            <w:tcW w:w="1426" w:type="dxa"/>
            <w:vMerge/>
            <w:shd w:val="clear" w:color="auto" w:fill="FFFFFF" w:themeFill="background1"/>
          </w:tcPr>
          <w:p w14:paraId="4B1B7ABC" w14:textId="77777777" w:rsidR="00156F73" w:rsidRPr="00903F99" w:rsidRDefault="00156F73" w:rsidP="00156F73">
            <w:pPr>
              <w:spacing w:before="0" w:after="0"/>
              <w:contextualSpacing/>
              <w:rPr>
                <w:sz w:val="22"/>
              </w:rPr>
            </w:pPr>
          </w:p>
        </w:tc>
      </w:tr>
      <w:tr w:rsidR="00156F73" w:rsidRPr="00903F99" w14:paraId="04B92B26" w14:textId="77777777" w:rsidTr="004E3199">
        <w:trPr>
          <w:trHeight w:val="374"/>
          <w:jc w:val="center"/>
        </w:trPr>
        <w:tc>
          <w:tcPr>
            <w:tcW w:w="14011" w:type="dxa"/>
            <w:gridSpan w:val="5"/>
            <w:vAlign w:val="center"/>
          </w:tcPr>
          <w:p w14:paraId="5A9E4490" w14:textId="59DBADA3" w:rsidR="00156F73" w:rsidRPr="00903F99" w:rsidRDefault="00156F73" w:rsidP="00156F73">
            <w:pPr>
              <w:pStyle w:val="HSAGTableText"/>
              <w:spacing w:before="0" w:after="0"/>
            </w:pPr>
            <w:r w:rsidRPr="001408D5">
              <w:rPr>
                <w:b/>
              </w:rPr>
              <w:t>PIHP Description of Process:</w:t>
            </w:r>
            <w:r w:rsidRPr="001408D5">
              <w:t xml:space="preserve"> When the NMRE notifies beneficiaries of the breach, the NMRE ensures the notice includes a brief description of the breach, the type of PHI that was breached, steps that can be taken to protect themselves, a brief description of what the NMRE is doing to investigate the breach and contact information for the NMRE so people involved may reach out with questions. </w:t>
            </w:r>
          </w:p>
        </w:tc>
      </w:tr>
      <w:tr w:rsidR="00156F73" w:rsidRPr="0026679F" w14:paraId="2881CB60" w14:textId="77777777" w:rsidTr="004E3199">
        <w:trPr>
          <w:trHeight w:val="374"/>
          <w:jc w:val="center"/>
        </w:trPr>
        <w:tc>
          <w:tcPr>
            <w:tcW w:w="14011" w:type="dxa"/>
            <w:gridSpan w:val="5"/>
            <w:tcBorders>
              <w:bottom w:val="single" w:sz="4" w:space="0" w:color="000000"/>
            </w:tcBorders>
            <w:vAlign w:val="center"/>
          </w:tcPr>
          <w:p w14:paraId="5BA11FFA" w14:textId="77777777" w:rsidR="00156F73" w:rsidRPr="001408D5" w:rsidRDefault="00156F73" w:rsidP="00156F73">
            <w:pPr>
              <w:pStyle w:val="HSAGTableText"/>
            </w:pPr>
            <w:r w:rsidRPr="001408D5">
              <w:rPr>
                <w:b/>
              </w:rPr>
              <w:t>HSAG Findings:</w:t>
            </w:r>
            <w:r w:rsidRPr="001408D5">
              <w:t xml:space="preserve"> Although the PIHP initially submitted three examples of unauthorized disclosures of PHI/breaches from two of its CMHSPs, only </w:t>
            </w:r>
            <w:r w:rsidRPr="001408D5">
              <w:rPr>
                <w:i/>
                <w:iCs/>
              </w:rPr>
              <w:t>S8_E14_Breach Notification Ex. 2</w:t>
            </w:r>
            <w:r w:rsidRPr="001408D5">
              <w:t xml:space="preserve"> contained evidence supporting that the affected individual was notified. However, the notification sent to the individual did not contain sub-element (b). Under 45 CFR §164.404(c) and 45 CFR §164.406(c), the notification (to individuals, and to media outlets, if required) must be written in plain language and include, to the extent possible, sub-elements (a) through (d) in the content of the notification. Additionally, there was no evidence provided showing the members in </w:t>
            </w:r>
            <w:r w:rsidRPr="001408D5">
              <w:rPr>
                <w:i/>
                <w:iCs/>
              </w:rPr>
              <w:t>Breach Notification Example 1</w:t>
            </w:r>
            <w:r w:rsidRPr="001408D5">
              <w:t xml:space="preserve"> and </w:t>
            </w:r>
            <w:r w:rsidRPr="001408D5">
              <w:rPr>
                <w:i/>
                <w:iCs/>
              </w:rPr>
              <w:t>Breach Notification Example 3</w:t>
            </w:r>
            <w:r w:rsidRPr="001408D5">
              <w:t xml:space="preserve"> were notified. Following the site review, HSAG requested the PIHP provide evidence of the breach letters to the individuals for </w:t>
            </w:r>
            <w:r w:rsidRPr="001408D5">
              <w:rPr>
                <w:i/>
                <w:iCs/>
              </w:rPr>
              <w:t xml:space="preserve">Breach Notification Example 1 </w:t>
            </w:r>
            <w:r w:rsidRPr="001408D5">
              <w:t>and</w:t>
            </w:r>
            <w:r w:rsidRPr="001408D5">
              <w:rPr>
                <w:i/>
                <w:iCs/>
              </w:rPr>
              <w:t xml:space="preserve"> Breach Notification Example 3</w:t>
            </w:r>
            <w:r w:rsidRPr="001408D5">
              <w:t xml:space="preserve">. The PIHP submitted a document titled </w:t>
            </w:r>
            <w:r w:rsidRPr="001408D5">
              <w:rPr>
                <w:i/>
                <w:iCs/>
              </w:rPr>
              <w:t>Breach Notification Example</w:t>
            </w:r>
            <w:r w:rsidRPr="001408D5">
              <w:t xml:space="preserve"> in follow up, which was a breach notification letter to a different member and did not </w:t>
            </w:r>
            <w:r w:rsidRPr="001408D5">
              <w:lastRenderedPageBreak/>
              <w:t xml:space="preserve">demonstrate that appropriate action was taken for notifying the individuals in </w:t>
            </w:r>
            <w:r w:rsidRPr="001408D5">
              <w:rPr>
                <w:i/>
                <w:iCs/>
              </w:rPr>
              <w:t>Breach Notification Example 1</w:t>
            </w:r>
            <w:r w:rsidRPr="001408D5">
              <w:t xml:space="preserve"> and </w:t>
            </w:r>
            <w:r w:rsidRPr="001408D5">
              <w:rPr>
                <w:i/>
                <w:iCs/>
              </w:rPr>
              <w:t xml:space="preserve">Breach Notification Example 3 </w:t>
            </w:r>
            <w:r w:rsidRPr="001408D5">
              <w:t xml:space="preserve">initially submitted. </w:t>
            </w:r>
          </w:p>
          <w:p w14:paraId="4EB8F452" w14:textId="4F54AAE3" w:rsidR="00156F73" w:rsidRPr="0026679F" w:rsidRDefault="00156F73" w:rsidP="00156F73">
            <w:pPr>
              <w:pStyle w:val="HSAGTableText"/>
              <w:spacing w:before="0"/>
            </w:pPr>
            <w:r w:rsidRPr="001408D5">
              <w:rPr>
                <w:b/>
                <w:bCs/>
              </w:rPr>
              <w:t>Recommendations:</w:t>
            </w:r>
            <w:r w:rsidRPr="001408D5">
              <w:t xml:space="preserve"> Although the PIHP submitted its </w:t>
            </w:r>
            <w:r w:rsidRPr="001408D5">
              <w:rPr>
                <w:i/>
                <w:iCs/>
              </w:rPr>
              <w:t xml:space="preserve">Breach Notification </w:t>
            </w:r>
            <w:r w:rsidRPr="001408D5">
              <w:t xml:space="preserve">policy outlining the requirements under this element, and confirmed the CMHSPs are responsible for providing notification to its members and media outlets as required, HSAG strongly recommends that the PIHP develop a formal process to receive and track its delegates’ unauthorized disclosures of PHI and breaches to ensure its delegates are providing notification to affected individuals, and the media as applicable, and notifying the PIHP as well as the Secretary as required. Additionally, HSAG strongly recommends that the PIHP develop a breach notification letter template to ensure this written material adheres to contract requirements (e.g., be written at or below the 6.9 grade reading level, when possible). If the PIHP does not demonstrate adequate implementation of HSAG’s recommendations during future compliance reviews, the PIHP may receive a </w:t>
            </w:r>
            <w:r w:rsidRPr="001408D5">
              <w:rPr>
                <w:i/>
                <w:iCs/>
              </w:rPr>
              <w:t>Not Met</w:t>
            </w:r>
            <w:r w:rsidRPr="001408D5">
              <w:t xml:space="preserve"> score.</w:t>
            </w:r>
          </w:p>
        </w:tc>
      </w:tr>
      <w:tr w:rsidR="00156F73" w:rsidRPr="0026679F" w14:paraId="13FBD5D2" w14:textId="77777777" w:rsidTr="004E3199">
        <w:trPr>
          <w:trHeight w:val="374"/>
          <w:jc w:val="center"/>
        </w:trPr>
        <w:tc>
          <w:tcPr>
            <w:tcW w:w="14011" w:type="dxa"/>
            <w:gridSpan w:val="5"/>
            <w:tcBorders>
              <w:top w:val="single" w:sz="4" w:space="0" w:color="000000"/>
              <w:bottom w:val="single" w:sz="4" w:space="0" w:color="auto"/>
            </w:tcBorders>
            <w:vAlign w:val="center"/>
          </w:tcPr>
          <w:p w14:paraId="7E2CA3F9" w14:textId="77777777" w:rsidR="00156F73" w:rsidRPr="001408D5" w:rsidRDefault="00156F73" w:rsidP="00156F73">
            <w:pPr>
              <w:pStyle w:val="HSAGTableText"/>
            </w:pPr>
            <w:r w:rsidRPr="001408D5">
              <w:rPr>
                <w:b/>
              </w:rPr>
              <w:lastRenderedPageBreak/>
              <w:t>Required Actions:</w:t>
            </w:r>
            <w:r w:rsidRPr="001408D5">
              <w:t xml:space="preserve"> The PIHP must ensure notification (to individuals, and to media outlets, if required) is written in plain language and includes, to the extent possible:</w:t>
            </w:r>
          </w:p>
          <w:p w14:paraId="119B7BAD" w14:textId="77777777" w:rsidR="00156F73" w:rsidRPr="001408D5" w:rsidRDefault="00156F73" w:rsidP="00595A8D">
            <w:pPr>
              <w:pStyle w:val="HSAGTableText"/>
              <w:numPr>
                <w:ilvl w:val="0"/>
                <w:numId w:val="23"/>
              </w:numPr>
              <w:ind w:left="420"/>
            </w:pPr>
            <w:r w:rsidRPr="001408D5">
              <w:t>A brief description of what happened, including the date of the breach and the date of the discovery of the breach, if known.</w:t>
            </w:r>
          </w:p>
          <w:p w14:paraId="14E444D6" w14:textId="77777777" w:rsidR="00156F73" w:rsidRPr="001408D5" w:rsidRDefault="00156F73" w:rsidP="00595A8D">
            <w:pPr>
              <w:pStyle w:val="HSAGTableText"/>
              <w:numPr>
                <w:ilvl w:val="0"/>
                <w:numId w:val="23"/>
              </w:numPr>
              <w:ind w:left="420"/>
            </w:pPr>
            <w:r w:rsidRPr="001408D5">
              <w:t>A description of the types of unsecured PHI that were involved in the breach (such as whether full name, Social Security number, date of birth, home address, account number, diagnosis, disability code, or other types of information were involved).</w:t>
            </w:r>
          </w:p>
          <w:p w14:paraId="143186EF" w14:textId="77777777" w:rsidR="00156F73" w:rsidRPr="001408D5" w:rsidRDefault="00156F73" w:rsidP="00595A8D">
            <w:pPr>
              <w:pStyle w:val="HSAGTableText"/>
              <w:numPr>
                <w:ilvl w:val="0"/>
                <w:numId w:val="23"/>
              </w:numPr>
              <w:ind w:left="420"/>
            </w:pPr>
            <w:r w:rsidRPr="001408D5">
              <w:t>Any steps individuals should take to protect themselves from potential harm resulting from the breach.</w:t>
            </w:r>
          </w:p>
          <w:p w14:paraId="5B645F02" w14:textId="77777777" w:rsidR="00156F73" w:rsidRDefault="00156F73" w:rsidP="00595A8D">
            <w:pPr>
              <w:pStyle w:val="HSAGTableText"/>
              <w:numPr>
                <w:ilvl w:val="0"/>
                <w:numId w:val="23"/>
              </w:numPr>
              <w:ind w:left="420"/>
            </w:pPr>
            <w:r w:rsidRPr="001408D5">
              <w:t>A brief description of what the PIHP is doing to investigate the breach, to mitigate harm to individuals, and to protect against any further breaches.</w:t>
            </w:r>
          </w:p>
          <w:p w14:paraId="1663F6B2" w14:textId="2B28E84B" w:rsidR="00156F73" w:rsidRPr="00156F73" w:rsidRDefault="00156F73" w:rsidP="00595A8D">
            <w:pPr>
              <w:pStyle w:val="HSAGTableText"/>
              <w:numPr>
                <w:ilvl w:val="0"/>
                <w:numId w:val="23"/>
              </w:numPr>
              <w:ind w:left="420"/>
            </w:pPr>
            <w:r w:rsidRPr="001408D5">
              <w:t xml:space="preserve">Contact procedures for individuals to ask questions or learn additional information, which </w:t>
            </w:r>
            <w:proofErr w:type="gramStart"/>
            <w:r w:rsidRPr="001408D5">
              <w:t>shall</w:t>
            </w:r>
            <w:proofErr w:type="gramEnd"/>
            <w:r w:rsidRPr="001408D5">
              <w:t xml:space="preserve"> include a toll-free telephone number, an email address, website, or postal address.</w:t>
            </w:r>
          </w:p>
        </w:tc>
      </w:tr>
      <w:tr w:rsidR="00156F73" w:rsidRPr="00D16F05" w14:paraId="11A42098" w14:textId="77777777" w:rsidTr="004E3199">
        <w:tblPrEx>
          <w:tblCellMar>
            <w:left w:w="108" w:type="dxa"/>
            <w:right w:w="108" w:type="dxa"/>
          </w:tblCellMar>
        </w:tblPrEx>
        <w:trPr>
          <w:trHeight w:val="374"/>
          <w:jc w:val="center"/>
        </w:trPr>
        <w:tc>
          <w:tcPr>
            <w:tcW w:w="14011" w:type="dxa"/>
            <w:gridSpan w:val="5"/>
            <w:tcBorders>
              <w:top w:val="single" w:sz="4" w:space="0" w:color="auto"/>
              <w:bottom w:val="single" w:sz="4" w:space="0" w:color="000000" w:themeColor="text1"/>
            </w:tcBorders>
            <w:shd w:val="clear" w:color="auto" w:fill="F79548" w:themeFill="accent4"/>
          </w:tcPr>
          <w:p w14:paraId="3F4693E2" w14:textId="77777777" w:rsidR="00156F73" w:rsidRPr="00D16F05" w:rsidRDefault="00156F73" w:rsidP="00156F73">
            <w:pPr>
              <w:pStyle w:val="HSAGTableText"/>
              <w:keepNext/>
              <w:contextualSpacing/>
              <w:rPr>
                <w:b/>
              </w:rPr>
            </w:pPr>
            <w:r>
              <w:rPr>
                <w:b/>
              </w:rPr>
              <w:t>PIHP Corrective Action Plan</w:t>
            </w:r>
          </w:p>
        </w:tc>
      </w:tr>
      <w:tr w:rsidR="00156F73" w:rsidRPr="00984D92" w14:paraId="1F64DEB2"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60831260" w14:textId="552EF07A" w:rsidR="00156F73" w:rsidRPr="00984D92" w:rsidRDefault="00156F73" w:rsidP="00156F73">
            <w:pPr>
              <w:pStyle w:val="HSAGTableText"/>
              <w:contextualSpacing/>
              <w:rPr>
                <w:bCs/>
              </w:rPr>
            </w:pPr>
            <w:r>
              <w:rPr>
                <w:b/>
              </w:rPr>
              <w:t>Root Cause Analysis:</w:t>
            </w:r>
            <w:r w:rsidRPr="003F5489">
              <w:rPr>
                <w:bCs/>
              </w:rPr>
              <w:t xml:space="preserve"> </w:t>
            </w:r>
            <w:r w:rsidR="00D03F23">
              <w:rPr>
                <w:rStyle w:val="normaltextrun"/>
                <w:color w:val="000000"/>
                <w:szCs w:val="22"/>
                <w:shd w:val="clear" w:color="auto" w:fill="FFFFFF"/>
              </w:rPr>
              <w:t>NMRE’s Breach Notification Policy includes the federally required elements for individual and media notifications; however, NMRE did not maintain standardized documentation to verify that all delegate-issued letters contained each required content element under 45 CFR §164.404(c) and §164.406(c). Some delegate letters lacked the required description of the specific types of unsecured PHI involved, and NMRE did not have a uniform template or readability verification process in place.</w:t>
            </w:r>
          </w:p>
        </w:tc>
      </w:tr>
      <w:tr w:rsidR="00156F73" w:rsidRPr="00FC2C0F" w14:paraId="10370A93"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6B11C0A6" w14:textId="77777777" w:rsidR="00D03F23" w:rsidRDefault="00156F73" w:rsidP="00D03F23">
            <w:pPr>
              <w:pStyle w:val="paragraph"/>
              <w:spacing w:before="0" w:beforeAutospacing="0" w:after="0" w:afterAutospacing="0"/>
              <w:textAlignment w:val="baseline"/>
              <w:rPr>
                <w:rFonts w:ascii="Segoe UI" w:hAnsi="Segoe UI" w:cs="Segoe UI"/>
                <w:color w:val="000000"/>
                <w:sz w:val="18"/>
                <w:szCs w:val="18"/>
              </w:rPr>
            </w:pPr>
            <w:r>
              <w:rPr>
                <w:b/>
              </w:rPr>
              <w:t>PIHP Remediation Plan</w:t>
            </w:r>
            <w:r w:rsidRPr="00B30934">
              <w:rPr>
                <w:b/>
              </w:rPr>
              <w:t>:</w:t>
            </w:r>
            <w:r>
              <w:rPr>
                <w:bCs/>
              </w:rPr>
              <w:t xml:space="preserve"> </w:t>
            </w:r>
            <w:r w:rsidR="00D03F23">
              <w:rPr>
                <w:rStyle w:val="normaltextrun"/>
                <w:color w:val="000000"/>
                <w:sz w:val="22"/>
                <w:szCs w:val="22"/>
              </w:rPr>
              <w:t>NMRE will strengthen its breach communication standards and oversight to ensure all breach notifications—whether issued by NMRE or its CMHSP delegates—are written in plain language and include all required elements.</w:t>
            </w:r>
            <w:r w:rsidR="00D03F23">
              <w:rPr>
                <w:rStyle w:val="scxw252901754"/>
                <w:color w:val="000000"/>
                <w:sz w:val="22"/>
                <w:szCs w:val="22"/>
              </w:rPr>
              <w:t> </w:t>
            </w:r>
            <w:r w:rsidR="00D03F23">
              <w:rPr>
                <w:color w:val="000000"/>
                <w:sz w:val="22"/>
                <w:szCs w:val="22"/>
              </w:rPr>
              <w:br/>
            </w:r>
            <w:r w:rsidR="00D03F23">
              <w:rPr>
                <w:rStyle w:val="normaltextrun"/>
                <w:color w:val="000000"/>
                <w:sz w:val="22"/>
                <w:szCs w:val="22"/>
              </w:rPr>
              <w:t xml:space="preserve">This corrective action will be addressed in coordination with the broader breach oversight enhancements described under </w:t>
            </w:r>
            <w:r w:rsidR="00D03F23">
              <w:rPr>
                <w:rStyle w:val="normaltextrun"/>
                <w:b/>
                <w:bCs/>
                <w:color w:val="000000"/>
                <w:sz w:val="22"/>
                <w:szCs w:val="22"/>
              </w:rPr>
              <w:t>Standard VIII, Item #11</w:t>
            </w:r>
            <w:r w:rsidR="00D03F23">
              <w:rPr>
                <w:rStyle w:val="normaltextrun"/>
                <w:color w:val="000000"/>
                <w:sz w:val="22"/>
                <w:szCs w:val="22"/>
              </w:rPr>
              <w:t>.</w:t>
            </w:r>
            <w:r w:rsidR="00D03F23">
              <w:rPr>
                <w:rStyle w:val="eop"/>
                <w:color w:val="000000"/>
                <w:sz w:val="22"/>
                <w:szCs w:val="22"/>
              </w:rPr>
              <w:t> </w:t>
            </w:r>
          </w:p>
          <w:p w14:paraId="23189186" w14:textId="77777777" w:rsidR="00D03F23" w:rsidRDefault="00D03F23" w:rsidP="00D03F23">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sz w:val="22"/>
                <w:szCs w:val="22"/>
              </w:rPr>
              <w:t>Specifically, NMRE will:</w:t>
            </w:r>
            <w:r>
              <w:rPr>
                <w:rStyle w:val="eop"/>
                <w:color w:val="000000"/>
                <w:sz w:val="22"/>
                <w:szCs w:val="22"/>
              </w:rPr>
              <w:t> </w:t>
            </w:r>
          </w:p>
          <w:p w14:paraId="009386D8" w14:textId="77777777" w:rsidR="00D03F23" w:rsidRDefault="00D03F23" w:rsidP="00B96827">
            <w:pPr>
              <w:pStyle w:val="paragraph"/>
              <w:numPr>
                <w:ilvl w:val="0"/>
                <w:numId w:val="45"/>
              </w:numPr>
              <w:spacing w:before="0" w:beforeAutospacing="0" w:after="0" w:afterAutospacing="0"/>
              <w:ind w:left="330" w:firstLine="0"/>
              <w:textAlignment w:val="baseline"/>
              <w:rPr>
                <w:color w:val="000000"/>
                <w:sz w:val="22"/>
                <w:szCs w:val="22"/>
              </w:rPr>
            </w:pPr>
            <w:r>
              <w:rPr>
                <w:rStyle w:val="normaltextrun"/>
                <w:b/>
                <w:bCs/>
                <w:color w:val="000000"/>
                <w:sz w:val="22"/>
                <w:szCs w:val="22"/>
              </w:rPr>
              <w:t>Develop a Standardized Breach Notification Letter Template:</w:t>
            </w:r>
            <w:r>
              <w:rPr>
                <w:rStyle w:val="eop"/>
                <w:color w:val="000000"/>
                <w:sz w:val="22"/>
                <w:szCs w:val="22"/>
              </w:rPr>
              <w:t> </w:t>
            </w:r>
          </w:p>
          <w:p w14:paraId="36A8B2AF" w14:textId="77777777" w:rsidR="00D03F23" w:rsidRDefault="00D03F23" w:rsidP="00B96827">
            <w:pPr>
              <w:pStyle w:val="paragraph"/>
              <w:numPr>
                <w:ilvl w:val="0"/>
                <w:numId w:val="46"/>
              </w:numPr>
              <w:spacing w:before="0" w:beforeAutospacing="0" w:after="0" w:afterAutospacing="0"/>
              <w:ind w:left="870" w:firstLine="0"/>
              <w:textAlignment w:val="baseline"/>
              <w:rPr>
                <w:color w:val="000000"/>
                <w:sz w:val="22"/>
                <w:szCs w:val="22"/>
              </w:rPr>
            </w:pPr>
            <w:r>
              <w:rPr>
                <w:rStyle w:val="normaltextrun"/>
                <w:color w:val="000000"/>
                <w:sz w:val="22"/>
                <w:szCs w:val="22"/>
              </w:rPr>
              <w:lastRenderedPageBreak/>
              <w:t>Create a letter template that includes all required elements under 45 CFR §164.404(c):</w:t>
            </w:r>
            <w:r>
              <w:rPr>
                <w:rStyle w:val="scxw252901754"/>
                <w:color w:val="000000"/>
                <w:sz w:val="22"/>
                <w:szCs w:val="22"/>
              </w:rPr>
              <w:t> </w:t>
            </w:r>
            <w:r>
              <w:rPr>
                <w:color w:val="000000"/>
                <w:sz w:val="22"/>
                <w:szCs w:val="22"/>
              </w:rPr>
              <w:br/>
            </w:r>
            <w:r>
              <w:rPr>
                <w:rStyle w:val="normaltextrun"/>
                <w:color w:val="000000"/>
                <w:sz w:val="22"/>
                <w:szCs w:val="22"/>
              </w:rPr>
              <w:t>a. Description of the incident and discovery date;</w:t>
            </w:r>
            <w:r>
              <w:rPr>
                <w:rStyle w:val="scxw252901754"/>
                <w:color w:val="000000"/>
                <w:sz w:val="22"/>
                <w:szCs w:val="22"/>
              </w:rPr>
              <w:t> </w:t>
            </w:r>
            <w:r>
              <w:rPr>
                <w:color w:val="000000"/>
                <w:sz w:val="22"/>
                <w:szCs w:val="22"/>
              </w:rPr>
              <w:br/>
            </w:r>
            <w:r>
              <w:rPr>
                <w:rStyle w:val="normaltextrun"/>
                <w:color w:val="000000"/>
                <w:sz w:val="22"/>
                <w:szCs w:val="22"/>
              </w:rPr>
              <w:t>b. Description of the types of PHI involved;</w:t>
            </w:r>
            <w:r>
              <w:rPr>
                <w:rStyle w:val="scxw252901754"/>
                <w:color w:val="000000"/>
                <w:sz w:val="22"/>
                <w:szCs w:val="22"/>
              </w:rPr>
              <w:t> </w:t>
            </w:r>
            <w:r>
              <w:rPr>
                <w:color w:val="000000"/>
                <w:sz w:val="22"/>
                <w:szCs w:val="22"/>
              </w:rPr>
              <w:br/>
            </w:r>
            <w:r>
              <w:rPr>
                <w:rStyle w:val="normaltextrun"/>
                <w:color w:val="000000"/>
                <w:sz w:val="22"/>
                <w:szCs w:val="22"/>
              </w:rPr>
              <w:t>c. Steps individuals can take to protect themselves;</w:t>
            </w:r>
            <w:r>
              <w:rPr>
                <w:rStyle w:val="scxw252901754"/>
                <w:color w:val="000000"/>
                <w:sz w:val="22"/>
                <w:szCs w:val="22"/>
              </w:rPr>
              <w:t> </w:t>
            </w:r>
            <w:r>
              <w:rPr>
                <w:color w:val="000000"/>
                <w:sz w:val="22"/>
                <w:szCs w:val="22"/>
              </w:rPr>
              <w:br/>
            </w:r>
            <w:r>
              <w:rPr>
                <w:rStyle w:val="normaltextrun"/>
                <w:color w:val="000000"/>
                <w:sz w:val="22"/>
                <w:szCs w:val="22"/>
              </w:rPr>
              <w:t>d. Description of what NMRE or the delegate is doing to investigate, mitigate, and prevent recurrence;</w:t>
            </w:r>
            <w:r>
              <w:rPr>
                <w:rStyle w:val="scxw252901754"/>
                <w:color w:val="000000"/>
                <w:sz w:val="22"/>
                <w:szCs w:val="22"/>
              </w:rPr>
              <w:t> </w:t>
            </w:r>
            <w:r>
              <w:rPr>
                <w:color w:val="000000"/>
                <w:sz w:val="22"/>
                <w:szCs w:val="22"/>
              </w:rPr>
              <w:br/>
            </w:r>
            <w:r>
              <w:rPr>
                <w:rStyle w:val="normaltextrun"/>
                <w:color w:val="000000"/>
                <w:sz w:val="22"/>
                <w:szCs w:val="22"/>
              </w:rPr>
              <w:t>e. Contact information for questions or additional support (including toll-free phone number, email, website, and postal address).</w:t>
            </w:r>
            <w:r>
              <w:rPr>
                <w:rStyle w:val="eop"/>
                <w:color w:val="000000"/>
                <w:sz w:val="22"/>
                <w:szCs w:val="22"/>
              </w:rPr>
              <w:t> </w:t>
            </w:r>
          </w:p>
          <w:p w14:paraId="00DBAF7B" w14:textId="77777777" w:rsidR="00D03F23" w:rsidRDefault="00D03F23" w:rsidP="00B96827">
            <w:pPr>
              <w:pStyle w:val="paragraph"/>
              <w:numPr>
                <w:ilvl w:val="0"/>
                <w:numId w:val="47"/>
              </w:numPr>
              <w:spacing w:before="0" w:beforeAutospacing="0" w:after="0" w:afterAutospacing="0"/>
              <w:ind w:left="870" w:firstLine="0"/>
              <w:textAlignment w:val="baseline"/>
              <w:rPr>
                <w:color w:val="000000"/>
                <w:sz w:val="22"/>
                <w:szCs w:val="22"/>
              </w:rPr>
            </w:pPr>
            <w:r>
              <w:rPr>
                <w:rStyle w:val="normaltextrun"/>
                <w:color w:val="000000"/>
                <w:sz w:val="22"/>
                <w:szCs w:val="22"/>
              </w:rPr>
              <w:t xml:space="preserve">Ensure the letter is written in </w:t>
            </w:r>
            <w:r>
              <w:rPr>
                <w:rStyle w:val="normaltextrun"/>
                <w:b/>
                <w:bCs/>
                <w:color w:val="000000"/>
                <w:sz w:val="22"/>
                <w:szCs w:val="22"/>
              </w:rPr>
              <w:t>plain language</w:t>
            </w:r>
            <w:r>
              <w:rPr>
                <w:rStyle w:val="normaltextrun"/>
                <w:color w:val="000000"/>
                <w:sz w:val="22"/>
                <w:szCs w:val="22"/>
              </w:rPr>
              <w:t xml:space="preserve"> and verified at or below a </w:t>
            </w:r>
            <w:r>
              <w:rPr>
                <w:rStyle w:val="normaltextrun"/>
                <w:b/>
                <w:bCs/>
                <w:color w:val="000000"/>
                <w:sz w:val="22"/>
                <w:szCs w:val="22"/>
              </w:rPr>
              <w:t>6.9 grade reading level</w:t>
            </w:r>
            <w:r>
              <w:rPr>
                <w:rStyle w:val="normaltextrun"/>
                <w:color w:val="000000"/>
                <w:sz w:val="22"/>
                <w:szCs w:val="22"/>
              </w:rPr>
              <w:t>.</w:t>
            </w:r>
            <w:r>
              <w:rPr>
                <w:rStyle w:val="eop"/>
                <w:color w:val="000000"/>
                <w:sz w:val="22"/>
                <w:szCs w:val="22"/>
              </w:rPr>
              <w:t> </w:t>
            </w:r>
          </w:p>
          <w:p w14:paraId="06E7C0B4" w14:textId="77777777" w:rsidR="00D03F23" w:rsidRDefault="00D03F23" w:rsidP="00B96827">
            <w:pPr>
              <w:pStyle w:val="paragraph"/>
              <w:numPr>
                <w:ilvl w:val="0"/>
                <w:numId w:val="48"/>
              </w:numPr>
              <w:spacing w:before="0" w:beforeAutospacing="0" w:after="0" w:afterAutospacing="0"/>
              <w:ind w:left="330" w:firstLine="0"/>
              <w:textAlignment w:val="baseline"/>
              <w:rPr>
                <w:color w:val="000000"/>
                <w:sz w:val="22"/>
                <w:szCs w:val="22"/>
              </w:rPr>
            </w:pPr>
            <w:r>
              <w:rPr>
                <w:rStyle w:val="normaltextrun"/>
                <w:b/>
                <w:bCs/>
                <w:color w:val="000000"/>
                <w:sz w:val="22"/>
                <w:szCs w:val="22"/>
              </w:rPr>
              <w:t>Require Delegate Alignment:</w:t>
            </w:r>
            <w:r>
              <w:rPr>
                <w:rStyle w:val="eop"/>
                <w:color w:val="000000"/>
                <w:sz w:val="22"/>
                <w:szCs w:val="22"/>
              </w:rPr>
              <w:t> </w:t>
            </w:r>
          </w:p>
          <w:p w14:paraId="03D863A8" w14:textId="77777777" w:rsidR="00D03F23" w:rsidRDefault="00D03F23" w:rsidP="00B96827">
            <w:pPr>
              <w:pStyle w:val="paragraph"/>
              <w:numPr>
                <w:ilvl w:val="0"/>
                <w:numId w:val="49"/>
              </w:numPr>
              <w:spacing w:before="0" w:beforeAutospacing="0" w:after="0" w:afterAutospacing="0"/>
              <w:ind w:left="870" w:firstLine="0"/>
              <w:textAlignment w:val="baseline"/>
              <w:rPr>
                <w:color w:val="000000"/>
                <w:sz w:val="22"/>
                <w:szCs w:val="22"/>
              </w:rPr>
            </w:pPr>
            <w:r>
              <w:rPr>
                <w:rStyle w:val="normaltextrun"/>
                <w:color w:val="000000"/>
                <w:sz w:val="22"/>
                <w:szCs w:val="22"/>
              </w:rPr>
              <w:t>Issue guidance to all CMHSP delegates requiring use of the NMRE-approved letter template or prior NMRE approval for any alternate template.</w:t>
            </w:r>
            <w:r>
              <w:rPr>
                <w:rStyle w:val="eop"/>
                <w:color w:val="000000"/>
                <w:sz w:val="22"/>
                <w:szCs w:val="22"/>
              </w:rPr>
              <w:t> </w:t>
            </w:r>
          </w:p>
          <w:p w14:paraId="1F73CDBB" w14:textId="77777777" w:rsidR="00D03F23" w:rsidRDefault="00D03F23" w:rsidP="00B96827">
            <w:pPr>
              <w:pStyle w:val="paragraph"/>
              <w:numPr>
                <w:ilvl w:val="0"/>
                <w:numId w:val="50"/>
              </w:numPr>
              <w:spacing w:before="0" w:beforeAutospacing="0" w:after="0" w:afterAutospacing="0"/>
              <w:ind w:left="870" w:firstLine="0"/>
              <w:textAlignment w:val="baseline"/>
              <w:rPr>
                <w:color w:val="000000"/>
                <w:sz w:val="22"/>
                <w:szCs w:val="22"/>
              </w:rPr>
            </w:pPr>
            <w:r>
              <w:rPr>
                <w:rStyle w:val="normaltextrun"/>
                <w:color w:val="000000"/>
                <w:sz w:val="22"/>
                <w:szCs w:val="22"/>
              </w:rPr>
              <w:t>Incorporate template compliance into NMRE’s quarterly delegate breach oversight review (per Section N of the Breach Notification Policy).</w:t>
            </w:r>
            <w:r>
              <w:rPr>
                <w:rStyle w:val="eop"/>
                <w:color w:val="000000"/>
                <w:sz w:val="22"/>
                <w:szCs w:val="22"/>
              </w:rPr>
              <w:t> </w:t>
            </w:r>
          </w:p>
          <w:p w14:paraId="38A848C7" w14:textId="77777777" w:rsidR="00D03F23" w:rsidRDefault="00D03F23" w:rsidP="00B96827">
            <w:pPr>
              <w:pStyle w:val="paragraph"/>
              <w:numPr>
                <w:ilvl w:val="0"/>
                <w:numId w:val="51"/>
              </w:numPr>
              <w:spacing w:before="0" w:beforeAutospacing="0" w:after="0" w:afterAutospacing="0"/>
              <w:ind w:left="330" w:firstLine="0"/>
              <w:textAlignment w:val="baseline"/>
              <w:rPr>
                <w:color w:val="000000"/>
                <w:sz w:val="22"/>
                <w:szCs w:val="22"/>
              </w:rPr>
            </w:pPr>
            <w:r>
              <w:rPr>
                <w:rStyle w:val="normaltextrun"/>
                <w:b/>
                <w:bCs/>
                <w:color w:val="000000"/>
                <w:sz w:val="22"/>
                <w:szCs w:val="22"/>
              </w:rPr>
              <w:t>Documentation and Verification:</w:t>
            </w:r>
            <w:r>
              <w:rPr>
                <w:rStyle w:val="eop"/>
                <w:color w:val="000000"/>
                <w:sz w:val="22"/>
                <w:szCs w:val="22"/>
              </w:rPr>
              <w:t> </w:t>
            </w:r>
          </w:p>
          <w:p w14:paraId="2AFCC137" w14:textId="77777777" w:rsidR="00D03F23" w:rsidRDefault="00D03F23" w:rsidP="00B96827">
            <w:pPr>
              <w:pStyle w:val="paragraph"/>
              <w:numPr>
                <w:ilvl w:val="0"/>
                <w:numId w:val="52"/>
              </w:numPr>
              <w:spacing w:before="0" w:beforeAutospacing="0" w:after="0" w:afterAutospacing="0"/>
              <w:ind w:left="870" w:firstLine="0"/>
              <w:textAlignment w:val="baseline"/>
              <w:rPr>
                <w:color w:val="000000"/>
                <w:sz w:val="22"/>
                <w:szCs w:val="22"/>
              </w:rPr>
            </w:pPr>
            <w:r>
              <w:rPr>
                <w:rStyle w:val="normaltextrun"/>
                <w:color w:val="000000"/>
                <w:sz w:val="22"/>
                <w:szCs w:val="22"/>
              </w:rPr>
              <w:t>Maintain copies of each delegate’s breach notification letter and readability verification report in NMRE’s breach tracking log.</w:t>
            </w:r>
            <w:r>
              <w:rPr>
                <w:rStyle w:val="eop"/>
                <w:color w:val="000000"/>
                <w:sz w:val="22"/>
                <w:szCs w:val="22"/>
              </w:rPr>
              <w:t> </w:t>
            </w:r>
          </w:p>
          <w:p w14:paraId="3D8D1EB7" w14:textId="77777777" w:rsidR="00D03F23" w:rsidRDefault="00D03F23" w:rsidP="00B96827">
            <w:pPr>
              <w:pStyle w:val="paragraph"/>
              <w:numPr>
                <w:ilvl w:val="0"/>
                <w:numId w:val="53"/>
              </w:numPr>
              <w:spacing w:before="0" w:beforeAutospacing="0" w:after="0" w:afterAutospacing="0"/>
              <w:ind w:left="870" w:firstLine="0"/>
              <w:textAlignment w:val="baseline"/>
              <w:rPr>
                <w:color w:val="000000"/>
                <w:sz w:val="22"/>
                <w:szCs w:val="22"/>
              </w:rPr>
            </w:pPr>
            <w:r>
              <w:rPr>
                <w:rStyle w:val="normaltextrun"/>
                <w:color w:val="000000"/>
                <w:sz w:val="22"/>
                <w:szCs w:val="22"/>
              </w:rPr>
              <w:t>Use these as supporting documentation for future audits or HSAG reviews.</w:t>
            </w:r>
            <w:r>
              <w:rPr>
                <w:rStyle w:val="eop"/>
                <w:color w:val="000000"/>
                <w:sz w:val="22"/>
                <w:szCs w:val="22"/>
              </w:rPr>
              <w:t> </w:t>
            </w:r>
          </w:p>
          <w:p w14:paraId="7BC002C4" w14:textId="4E199A8A" w:rsidR="00156F73" w:rsidRPr="00FC2C0F" w:rsidRDefault="00D03F23" w:rsidP="009E2556">
            <w:pPr>
              <w:pStyle w:val="paragraph"/>
              <w:spacing w:before="0" w:beforeAutospacing="0" w:after="0" w:afterAutospacing="0"/>
              <w:textAlignment w:val="baseline"/>
            </w:pPr>
            <w:r>
              <w:rPr>
                <w:rStyle w:val="normaltextrun"/>
                <w:color w:val="000000"/>
                <w:sz w:val="22"/>
                <w:szCs w:val="22"/>
              </w:rPr>
              <w:t>These actions will ensure all future notifications meet the federal content and readability standards while demonstrating NMRE’s oversight of delegate communications.</w:t>
            </w:r>
            <w:r>
              <w:rPr>
                <w:rStyle w:val="eop"/>
                <w:color w:val="000000"/>
                <w:sz w:val="22"/>
                <w:szCs w:val="22"/>
              </w:rPr>
              <w:t> </w:t>
            </w:r>
          </w:p>
        </w:tc>
      </w:tr>
      <w:tr w:rsidR="00156F73" w:rsidRPr="00FC2C0F" w14:paraId="70FE410C"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2A9D5623" w14:textId="50DE3A30" w:rsidR="00156F73" w:rsidRPr="009E2556" w:rsidRDefault="00156F73" w:rsidP="00156F73">
            <w:pPr>
              <w:pStyle w:val="HSAGTableText"/>
              <w:contextualSpacing/>
              <w:rPr>
                <w:bCs/>
                <w:szCs w:val="22"/>
              </w:rPr>
            </w:pPr>
            <w:r w:rsidRPr="009E2556">
              <w:rPr>
                <w:b/>
                <w:szCs w:val="22"/>
              </w:rPr>
              <w:lastRenderedPageBreak/>
              <w:t>Responsible Individual(s):</w:t>
            </w:r>
            <w:r w:rsidRPr="009E2556">
              <w:rPr>
                <w:bCs/>
                <w:szCs w:val="22"/>
              </w:rPr>
              <w:t xml:space="preserve"> </w:t>
            </w:r>
            <w:r w:rsidR="00D03F23" w:rsidRPr="009E2556">
              <w:rPr>
                <w:bCs/>
                <w:szCs w:val="22"/>
              </w:rPr>
              <w:t>Brie Molaison, Compliance and Customer Services Officer</w:t>
            </w:r>
          </w:p>
        </w:tc>
      </w:tr>
      <w:tr w:rsidR="00156F73" w:rsidRPr="00FC2C0F" w14:paraId="0C6EA1D3"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auto"/>
            </w:tcBorders>
          </w:tcPr>
          <w:p w14:paraId="783CE002" w14:textId="77777777" w:rsidR="00D03F23" w:rsidRPr="009E2556" w:rsidRDefault="00156F73" w:rsidP="00D03F23">
            <w:pPr>
              <w:pStyle w:val="paragraph"/>
              <w:spacing w:before="0" w:beforeAutospacing="0" w:after="0" w:afterAutospacing="0"/>
              <w:textAlignment w:val="baseline"/>
              <w:rPr>
                <w:rFonts w:ascii="Segoe UI" w:hAnsi="Segoe UI" w:cs="Segoe UI"/>
                <w:color w:val="000000"/>
                <w:sz w:val="22"/>
                <w:szCs w:val="22"/>
              </w:rPr>
            </w:pPr>
            <w:r w:rsidRPr="009E2556">
              <w:rPr>
                <w:b/>
                <w:sz w:val="22"/>
                <w:szCs w:val="22"/>
              </w:rPr>
              <w:t>Timeline:</w:t>
            </w:r>
            <w:r w:rsidRPr="009E2556">
              <w:rPr>
                <w:bCs/>
                <w:sz w:val="22"/>
                <w:szCs w:val="22"/>
              </w:rPr>
              <w:t xml:space="preserve"> </w:t>
            </w:r>
            <w:r w:rsidR="00D03F23" w:rsidRPr="009E2556">
              <w:rPr>
                <w:rStyle w:val="normaltextrun"/>
                <w:color w:val="000000"/>
                <w:sz w:val="22"/>
                <w:szCs w:val="22"/>
              </w:rPr>
              <w:t>Policy revision draft and internal review: February – March 2026</w:t>
            </w:r>
            <w:r w:rsidR="00D03F23" w:rsidRPr="009E2556">
              <w:rPr>
                <w:rStyle w:val="eop"/>
                <w:color w:val="000000"/>
                <w:sz w:val="22"/>
                <w:szCs w:val="22"/>
              </w:rPr>
              <w:t> </w:t>
            </w:r>
          </w:p>
          <w:p w14:paraId="526A9E64" w14:textId="77777777" w:rsidR="00D03F23" w:rsidRPr="009E2556" w:rsidRDefault="00D03F23" w:rsidP="00D03F23">
            <w:pPr>
              <w:pStyle w:val="paragraph"/>
              <w:spacing w:before="0" w:beforeAutospacing="0" w:after="0" w:afterAutospacing="0"/>
              <w:textAlignment w:val="baseline"/>
              <w:rPr>
                <w:rFonts w:ascii="Segoe UI" w:hAnsi="Segoe UI" w:cs="Segoe UI"/>
                <w:color w:val="000000"/>
                <w:sz w:val="22"/>
                <w:szCs w:val="22"/>
              </w:rPr>
            </w:pPr>
            <w:r w:rsidRPr="009E2556">
              <w:rPr>
                <w:rStyle w:val="normaltextrun"/>
                <w:color w:val="000000"/>
                <w:sz w:val="22"/>
                <w:szCs w:val="22"/>
              </w:rPr>
              <w:t>Breach Tracking Log implementation: April 2026</w:t>
            </w:r>
            <w:r w:rsidRPr="009E2556">
              <w:rPr>
                <w:rStyle w:val="eop"/>
                <w:color w:val="000000"/>
                <w:sz w:val="22"/>
                <w:szCs w:val="22"/>
              </w:rPr>
              <w:t> </w:t>
            </w:r>
          </w:p>
          <w:p w14:paraId="5F4B514C" w14:textId="77777777" w:rsidR="00D03F23" w:rsidRPr="009E2556" w:rsidRDefault="00D03F23" w:rsidP="00D03F23">
            <w:pPr>
              <w:pStyle w:val="paragraph"/>
              <w:spacing w:before="0" w:beforeAutospacing="0" w:after="0" w:afterAutospacing="0"/>
              <w:textAlignment w:val="baseline"/>
              <w:rPr>
                <w:rFonts w:ascii="Segoe UI" w:hAnsi="Segoe UI" w:cs="Segoe UI"/>
                <w:color w:val="000000"/>
                <w:sz w:val="22"/>
                <w:szCs w:val="22"/>
              </w:rPr>
            </w:pPr>
            <w:r w:rsidRPr="009E2556">
              <w:rPr>
                <w:rStyle w:val="normaltextrun"/>
                <w:color w:val="000000"/>
                <w:sz w:val="22"/>
                <w:szCs w:val="22"/>
              </w:rPr>
              <w:t>Oversight review process established: May 2026</w:t>
            </w:r>
            <w:r w:rsidRPr="009E2556">
              <w:rPr>
                <w:rStyle w:val="eop"/>
                <w:color w:val="000000"/>
                <w:sz w:val="22"/>
                <w:szCs w:val="22"/>
              </w:rPr>
              <w:t> </w:t>
            </w:r>
          </w:p>
          <w:p w14:paraId="65125C5F" w14:textId="474A75B3" w:rsidR="00156F73" w:rsidRPr="009E2556" w:rsidRDefault="00D03F23" w:rsidP="009E2556">
            <w:pPr>
              <w:pStyle w:val="paragraph"/>
              <w:spacing w:before="0" w:beforeAutospacing="0" w:after="0" w:afterAutospacing="0"/>
              <w:textAlignment w:val="baseline"/>
              <w:rPr>
                <w:sz w:val="22"/>
                <w:szCs w:val="22"/>
              </w:rPr>
            </w:pPr>
            <w:r w:rsidRPr="009E2556">
              <w:rPr>
                <w:rStyle w:val="normaltextrun"/>
                <w:color w:val="000000"/>
                <w:sz w:val="22"/>
                <w:szCs w:val="22"/>
              </w:rPr>
              <w:t>Demonstration of full compliance: Next HSAG compliance review cycle</w:t>
            </w:r>
            <w:r w:rsidRPr="009E2556">
              <w:rPr>
                <w:rStyle w:val="eop"/>
                <w:color w:val="000000"/>
                <w:sz w:val="22"/>
                <w:szCs w:val="22"/>
              </w:rPr>
              <w:t> </w:t>
            </w:r>
          </w:p>
        </w:tc>
      </w:tr>
      <w:tr w:rsidR="00156F73" w14:paraId="42567F1B" w14:textId="77777777" w:rsidTr="0065503C">
        <w:tblPrEx>
          <w:tblCellMar>
            <w:left w:w="108" w:type="dxa"/>
            <w:right w:w="108" w:type="dxa"/>
          </w:tblCellMar>
        </w:tblPrEx>
        <w:trPr>
          <w:trHeight w:val="374"/>
          <w:jc w:val="center"/>
        </w:trPr>
        <w:tc>
          <w:tcPr>
            <w:tcW w:w="10432" w:type="dxa"/>
            <w:gridSpan w:val="3"/>
            <w:tcBorders>
              <w:top w:val="single" w:sz="4" w:space="0" w:color="auto"/>
              <w:bottom w:val="single" w:sz="18" w:space="0" w:color="00549E" w:themeColor="text2"/>
            </w:tcBorders>
            <w:shd w:val="clear" w:color="auto" w:fill="F2F2F2" w:themeFill="background1" w:themeFillShade="F2"/>
          </w:tcPr>
          <w:p w14:paraId="0B42D20E" w14:textId="44BC2A0F" w:rsidR="00156F73" w:rsidRPr="009E2556" w:rsidRDefault="00156F73" w:rsidP="00156F73">
            <w:pPr>
              <w:pStyle w:val="HSAGTableText"/>
              <w:contextualSpacing/>
              <w:rPr>
                <w:bCs/>
                <w:szCs w:val="22"/>
              </w:rPr>
            </w:pPr>
            <w:r w:rsidRPr="009E2556">
              <w:rPr>
                <w:b/>
                <w:szCs w:val="22"/>
              </w:rPr>
              <w:t>MDHHS/HSAG Response:</w:t>
            </w:r>
            <w:r w:rsidRPr="009E2556">
              <w:rPr>
                <w:bCs/>
                <w:szCs w:val="22"/>
              </w:rPr>
              <w:t xml:space="preserve"> </w:t>
            </w:r>
            <w:r w:rsidR="00595A8D" w:rsidRPr="009E2556">
              <w:rPr>
                <w:bCs/>
                <w:szCs w:val="22"/>
              </w:rPr>
              <w:t xml:space="preserve">The PIHP’s remediation plan is sufficient to ensure compliance with the requirements for this program area. While no additional information is required to be submitted at this time, the PIHP must proceed with </w:t>
            </w:r>
            <w:proofErr w:type="gramStart"/>
            <w:r w:rsidR="00595A8D" w:rsidRPr="009E2556">
              <w:rPr>
                <w:bCs/>
                <w:szCs w:val="22"/>
              </w:rPr>
              <w:t>timely</w:t>
            </w:r>
            <w:proofErr w:type="gramEnd"/>
            <w:r w:rsidR="00595A8D" w:rsidRPr="009E2556">
              <w:rPr>
                <w:bCs/>
                <w:szCs w:val="22"/>
              </w:rPr>
              <w:t xml:space="preserve"> implementation of its action plans. Please note, an </w:t>
            </w:r>
            <w:r w:rsidR="00595A8D" w:rsidRPr="009E2556">
              <w:rPr>
                <w:bCs/>
                <w:i/>
                <w:iCs/>
                <w:szCs w:val="22"/>
              </w:rPr>
              <w:t>Accepted</w:t>
            </w:r>
            <w:r w:rsidR="00595A8D" w:rsidRPr="009E2556">
              <w:rPr>
                <w:bCs/>
                <w:szCs w:val="22"/>
              </w:rPr>
              <w:t xml:space="preserve"> designation is not a guarantee of future compliance. Implementation of the PIHP’s action plans and demonstration of compliance will be assessed during future compliance review activities.</w:t>
            </w:r>
          </w:p>
        </w:tc>
        <w:tc>
          <w:tcPr>
            <w:tcW w:w="3579" w:type="dxa"/>
            <w:gridSpan w:val="2"/>
            <w:tcBorders>
              <w:top w:val="single" w:sz="4" w:space="0" w:color="auto"/>
              <w:bottom w:val="single" w:sz="18" w:space="0" w:color="00549E" w:themeColor="text2"/>
            </w:tcBorders>
            <w:shd w:val="clear" w:color="auto" w:fill="F2F2F2" w:themeFill="background1" w:themeFillShade="F2"/>
          </w:tcPr>
          <w:p w14:paraId="1D81119E" w14:textId="56F38B5F" w:rsidR="00156F73" w:rsidRPr="00C123EE" w:rsidRDefault="00000000" w:rsidP="00156F73">
            <w:pPr>
              <w:pStyle w:val="HSAGTableText"/>
              <w:contextualSpacing/>
              <w:rPr>
                <w:bCs/>
              </w:rPr>
            </w:pPr>
            <w:sdt>
              <w:sdtPr>
                <w:rPr>
                  <w:bCs/>
                </w:rPr>
                <w:id w:val="535935499"/>
                <w14:checkbox>
                  <w14:checked w14:val="1"/>
                  <w14:checkedState w14:val="2612" w14:font="MS Gothic"/>
                  <w14:uncheckedState w14:val="2610" w14:font="MS Gothic"/>
                </w14:checkbox>
              </w:sdtPr>
              <w:sdtContent>
                <w:r w:rsidR="00595A8D">
                  <w:rPr>
                    <w:rFonts w:ascii="MS Gothic" w:eastAsia="MS Gothic" w:hAnsi="MS Gothic" w:hint="eastAsia"/>
                    <w:bCs/>
                  </w:rPr>
                  <w:t>☒</w:t>
                </w:r>
              </w:sdtContent>
            </w:sdt>
            <w:r w:rsidR="00156F73" w:rsidRPr="00C123EE">
              <w:rPr>
                <w:bCs/>
              </w:rPr>
              <w:t xml:space="preserve"> Accepted</w:t>
            </w:r>
          </w:p>
          <w:p w14:paraId="7B8DAC84" w14:textId="77777777" w:rsidR="00156F73" w:rsidRPr="00C123EE" w:rsidRDefault="00000000" w:rsidP="00156F73">
            <w:pPr>
              <w:pStyle w:val="HSAGTableText"/>
              <w:contextualSpacing/>
              <w:rPr>
                <w:bCs/>
              </w:rPr>
            </w:pPr>
            <w:sdt>
              <w:sdtPr>
                <w:rPr>
                  <w:bCs/>
                </w:rPr>
                <w:id w:val="-1818641553"/>
                <w14:checkbox>
                  <w14:checked w14:val="0"/>
                  <w14:checkedState w14:val="2612" w14:font="MS Gothic"/>
                  <w14:uncheckedState w14:val="2610" w14:font="MS Gothic"/>
                </w14:checkbox>
              </w:sdtPr>
              <w:sdtContent>
                <w:r w:rsidR="00156F73" w:rsidRPr="00C123EE">
                  <w:rPr>
                    <w:rFonts w:ascii="MS Gothic" w:eastAsia="MS Gothic" w:hAnsi="MS Gothic" w:hint="eastAsia"/>
                    <w:bCs/>
                  </w:rPr>
                  <w:t>☐</w:t>
                </w:r>
              </w:sdtContent>
            </w:sdt>
            <w:r w:rsidR="00156F73" w:rsidRPr="00C123EE">
              <w:rPr>
                <w:bCs/>
              </w:rPr>
              <w:t xml:space="preserve"> Accepted </w:t>
            </w:r>
            <w:r w:rsidR="00156F73">
              <w:rPr>
                <w:bCs/>
              </w:rPr>
              <w:t>W</w:t>
            </w:r>
            <w:r w:rsidR="00156F73" w:rsidRPr="00C123EE">
              <w:rPr>
                <w:bCs/>
              </w:rPr>
              <w:t>ith Recommendations</w:t>
            </w:r>
          </w:p>
          <w:p w14:paraId="05204728" w14:textId="77777777" w:rsidR="00156F73" w:rsidRDefault="00000000" w:rsidP="00156F73">
            <w:pPr>
              <w:pStyle w:val="HSAGTableText"/>
              <w:contextualSpacing/>
              <w:rPr>
                <w:b/>
              </w:rPr>
            </w:pPr>
            <w:sdt>
              <w:sdtPr>
                <w:rPr>
                  <w:bCs/>
                </w:rPr>
                <w:id w:val="-320265117"/>
                <w14:checkbox>
                  <w14:checked w14:val="0"/>
                  <w14:checkedState w14:val="2612" w14:font="MS Gothic"/>
                  <w14:uncheckedState w14:val="2610" w14:font="MS Gothic"/>
                </w14:checkbox>
              </w:sdtPr>
              <w:sdtContent>
                <w:r w:rsidR="00156F73" w:rsidRPr="00C123EE">
                  <w:rPr>
                    <w:rFonts w:ascii="MS Gothic" w:eastAsia="MS Gothic" w:hAnsi="MS Gothic" w:hint="eastAsia"/>
                    <w:bCs/>
                  </w:rPr>
                  <w:t>☐</w:t>
                </w:r>
              </w:sdtContent>
            </w:sdt>
            <w:r w:rsidR="00156F73" w:rsidRPr="00C123EE">
              <w:rPr>
                <w:bCs/>
              </w:rPr>
              <w:t xml:space="preserve"> Not Accepted</w:t>
            </w:r>
          </w:p>
        </w:tc>
      </w:tr>
      <w:tr w:rsidR="00003F46" w:rsidRPr="00903F99" w14:paraId="2013B9AA" w14:textId="77777777" w:rsidTr="00B96827">
        <w:trPr>
          <w:trHeight w:val="374"/>
          <w:jc w:val="center"/>
        </w:trPr>
        <w:tc>
          <w:tcPr>
            <w:tcW w:w="6745" w:type="dxa"/>
            <w:gridSpan w:val="2"/>
            <w:vMerge w:val="restart"/>
          </w:tcPr>
          <w:p w14:paraId="7E7FD66D" w14:textId="77777777" w:rsidR="00003F46" w:rsidRPr="001408D5" w:rsidRDefault="00003F46" w:rsidP="00003F46">
            <w:pPr>
              <w:pStyle w:val="ListNoNum"/>
              <w:rPr>
                <w:i/>
                <w:iCs/>
              </w:rPr>
            </w:pPr>
            <w:r w:rsidRPr="001408D5">
              <w:rPr>
                <w:iCs/>
                <w:spacing w:val="-4"/>
              </w:rPr>
              <w:t>20.</w:t>
            </w:r>
            <w:r w:rsidRPr="001408D5">
              <w:rPr>
                <w:iCs/>
                <w:spacing w:val="-4"/>
              </w:rPr>
              <w:tab/>
            </w:r>
            <w:r w:rsidRPr="001408D5">
              <w:rPr>
                <w:iCs/>
              </w:rPr>
              <w:t>The PIHP must, following the discovery of a breach of unsecured PHI, notify the Secretary.</w:t>
            </w:r>
          </w:p>
          <w:p w14:paraId="09520A5D" w14:textId="77777777" w:rsidR="00003F46" w:rsidRPr="001408D5" w:rsidRDefault="00003F46" w:rsidP="00003F46">
            <w:pPr>
              <w:pStyle w:val="ListNoNum2"/>
              <w:ind w:left="692"/>
              <w:rPr>
                <w:i/>
                <w:iCs/>
              </w:rPr>
            </w:pPr>
            <w:r w:rsidRPr="001408D5">
              <w:rPr>
                <w:iCs/>
              </w:rPr>
              <w:lastRenderedPageBreak/>
              <w:t>a</w:t>
            </w:r>
            <w:proofErr w:type="gramStart"/>
            <w:r w:rsidRPr="001408D5">
              <w:rPr>
                <w:iCs/>
              </w:rPr>
              <w:t xml:space="preserve">. </w:t>
            </w:r>
            <w:r w:rsidRPr="001408D5">
              <w:rPr>
                <w:iCs/>
              </w:rPr>
              <w:tab/>
              <w:t>For</w:t>
            </w:r>
            <w:proofErr w:type="gramEnd"/>
            <w:r w:rsidRPr="001408D5">
              <w:rPr>
                <w:iCs/>
              </w:rPr>
              <w:t xml:space="preserve"> breaches of unsecured PHI involving 500 or more individuals, the PIHP must, except as provided in 45 CFR §164.412, provide the notification contemporaneously with the notice required by 45 CFR §164.404(a) and in the manner specified on the HHS website.</w:t>
            </w:r>
          </w:p>
          <w:p w14:paraId="2B644184" w14:textId="77777777" w:rsidR="00003F46" w:rsidRPr="001408D5" w:rsidRDefault="00003F46" w:rsidP="00003F46">
            <w:pPr>
              <w:pStyle w:val="ListNoNum2"/>
              <w:ind w:left="692"/>
              <w:rPr>
                <w:i/>
                <w:iCs/>
              </w:rPr>
            </w:pPr>
            <w:r w:rsidRPr="001408D5">
              <w:rPr>
                <w:iCs/>
              </w:rPr>
              <w:t>b</w:t>
            </w:r>
            <w:proofErr w:type="gramStart"/>
            <w:r w:rsidRPr="001408D5">
              <w:rPr>
                <w:iCs/>
              </w:rPr>
              <w:t xml:space="preserve">. </w:t>
            </w:r>
            <w:r w:rsidRPr="001408D5">
              <w:rPr>
                <w:iCs/>
              </w:rPr>
              <w:tab/>
              <w:t>For</w:t>
            </w:r>
            <w:proofErr w:type="gramEnd"/>
            <w:r w:rsidRPr="001408D5">
              <w:rPr>
                <w:iCs/>
              </w:rPr>
              <w:t xml:space="preserve"> breaches of unsecured PHI involving less than 500 individuals, the PIHP must maintain a log or other documentation of such breaches and, not later than 60 days after the end of each calendar year, provide the notification for breaches discovered during the preceding calendar year, in the manner specified on the HHS website.</w:t>
            </w:r>
          </w:p>
          <w:p w14:paraId="4032337A" w14:textId="77777777" w:rsidR="00003F46" w:rsidRPr="001408D5" w:rsidRDefault="00003F46" w:rsidP="00003F46">
            <w:pPr>
              <w:pStyle w:val="HSAGTableContracttext"/>
            </w:pPr>
          </w:p>
          <w:p w14:paraId="60EDB6F2" w14:textId="77777777" w:rsidR="00003F46" w:rsidRPr="001408D5" w:rsidRDefault="00003F46" w:rsidP="00003F46">
            <w:pPr>
              <w:pStyle w:val="HSAGTableContracttext"/>
            </w:pPr>
            <w:r w:rsidRPr="001408D5">
              <w:t xml:space="preserve">45 CFR §164.404(a) </w:t>
            </w:r>
          </w:p>
          <w:p w14:paraId="1A9043C6" w14:textId="77777777" w:rsidR="00003F46" w:rsidRPr="001408D5" w:rsidRDefault="00003F46" w:rsidP="00003F46">
            <w:pPr>
              <w:pStyle w:val="HSAGTableContracttext"/>
            </w:pPr>
            <w:r w:rsidRPr="001408D5">
              <w:t>45 CFR §164.408</w:t>
            </w:r>
          </w:p>
          <w:p w14:paraId="0B5703C8" w14:textId="2B84BEF3" w:rsidR="00003F46" w:rsidRPr="00903F99" w:rsidRDefault="00003F46" w:rsidP="00003F46">
            <w:pPr>
              <w:pStyle w:val="HSAGTableContracttext"/>
              <w:keepNext/>
              <w:spacing w:before="0" w:after="0"/>
              <w:ind w:left="1440"/>
              <w:contextualSpacing/>
              <w:rPr>
                <w:i/>
                <w:szCs w:val="18"/>
              </w:rPr>
            </w:pPr>
            <w:r w:rsidRPr="001408D5">
              <w:t>45 CFR §164.412</w:t>
            </w:r>
          </w:p>
        </w:tc>
        <w:tc>
          <w:tcPr>
            <w:tcW w:w="5840" w:type="dxa"/>
            <w:gridSpan w:val="2"/>
            <w:shd w:val="clear" w:color="auto" w:fill="FFFFFF" w:themeFill="background1"/>
          </w:tcPr>
          <w:p w14:paraId="1E9E36B6" w14:textId="77777777" w:rsidR="00003F46" w:rsidRPr="001408D5" w:rsidRDefault="00003F46" w:rsidP="00003F46">
            <w:pPr>
              <w:pStyle w:val="HSAGTableText"/>
              <w:contextualSpacing/>
              <w:rPr>
                <w:b/>
                <w:bCs/>
              </w:rPr>
            </w:pPr>
            <w:r w:rsidRPr="001408D5">
              <w:rPr>
                <w:b/>
                <w:bCs/>
              </w:rPr>
              <w:lastRenderedPageBreak/>
              <w:t>HSAG Required Evidence:</w:t>
            </w:r>
          </w:p>
          <w:p w14:paraId="36A5B411" w14:textId="77777777" w:rsidR="00003F46" w:rsidRPr="001408D5" w:rsidRDefault="00003F46" w:rsidP="00595A8D">
            <w:pPr>
              <w:pStyle w:val="HSAGTableText"/>
              <w:numPr>
                <w:ilvl w:val="0"/>
                <w:numId w:val="19"/>
              </w:numPr>
              <w:contextualSpacing/>
            </w:pPr>
            <w:r w:rsidRPr="001408D5">
              <w:t>Policies and procedures</w:t>
            </w:r>
          </w:p>
          <w:p w14:paraId="2DD5950B" w14:textId="77777777" w:rsidR="00003F46" w:rsidRDefault="00003F46" w:rsidP="00595A8D">
            <w:pPr>
              <w:pStyle w:val="HSAGTableText"/>
              <w:numPr>
                <w:ilvl w:val="0"/>
                <w:numId w:val="19"/>
              </w:numPr>
              <w:contextualSpacing/>
            </w:pPr>
            <w:r w:rsidRPr="001408D5">
              <w:lastRenderedPageBreak/>
              <w:t xml:space="preserve">List of breaches of unsecured PHI, including whether the breach involved 500 or more members or less than 500 members </w:t>
            </w:r>
          </w:p>
          <w:p w14:paraId="2438C262" w14:textId="46405A50" w:rsidR="00003F46" w:rsidRPr="00903F99" w:rsidRDefault="00003F46" w:rsidP="00595A8D">
            <w:pPr>
              <w:pStyle w:val="HSAGTableText"/>
              <w:numPr>
                <w:ilvl w:val="0"/>
                <w:numId w:val="19"/>
              </w:numPr>
              <w:contextualSpacing/>
            </w:pPr>
            <w:r w:rsidRPr="001408D5">
              <w:t>Annual notification to HHS of breaches of unsecured PHI, including the date of notification</w:t>
            </w:r>
          </w:p>
        </w:tc>
        <w:tc>
          <w:tcPr>
            <w:tcW w:w="1426" w:type="dxa"/>
            <w:vMerge w:val="restart"/>
            <w:shd w:val="clear" w:color="auto" w:fill="FFFFFF" w:themeFill="background1"/>
          </w:tcPr>
          <w:p w14:paraId="3D66FE9F" w14:textId="77777777" w:rsidR="00003F46" w:rsidRPr="001408D5" w:rsidRDefault="00000000" w:rsidP="00003F46">
            <w:pPr>
              <w:spacing w:before="60" w:after="0"/>
              <w:contextualSpacing/>
              <w:rPr>
                <w:sz w:val="22"/>
              </w:rPr>
            </w:pPr>
            <w:sdt>
              <w:sdtPr>
                <w:rPr>
                  <w:sz w:val="22"/>
                </w:rPr>
                <w:id w:val="1562139382"/>
                <w14:checkbox>
                  <w14:checked w14:val="0"/>
                  <w14:checkedState w14:val="2612" w14:font="MS Gothic"/>
                  <w14:uncheckedState w14:val="2610" w14:font="MS Gothic"/>
                </w14:checkbox>
              </w:sdtPr>
              <w:sdtContent>
                <w:r w:rsidR="00003F46" w:rsidRPr="001408D5">
                  <w:rPr>
                    <w:rFonts w:ascii="MS Gothic" w:eastAsia="MS Gothic" w:hAnsi="MS Gothic" w:hint="eastAsia"/>
                    <w:sz w:val="22"/>
                  </w:rPr>
                  <w:t>☐</w:t>
                </w:r>
              </w:sdtContent>
            </w:sdt>
            <w:r w:rsidR="00003F46" w:rsidRPr="001408D5">
              <w:rPr>
                <w:sz w:val="22"/>
              </w:rPr>
              <w:t xml:space="preserve"> Met</w:t>
            </w:r>
          </w:p>
          <w:p w14:paraId="3342EA03" w14:textId="77777777" w:rsidR="00003F46" w:rsidRPr="001408D5" w:rsidRDefault="00000000" w:rsidP="00003F46">
            <w:pPr>
              <w:spacing w:before="60" w:after="0"/>
              <w:contextualSpacing/>
              <w:rPr>
                <w:sz w:val="22"/>
              </w:rPr>
            </w:pPr>
            <w:sdt>
              <w:sdtPr>
                <w:rPr>
                  <w:sz w:val="22"/>
                </w:rPr>
                <w:id w:val="-535505198"/>
                <w14:checkbox>
                  <w14:checked w14:val="1"/>
                  <w14:checkedState w14:val="2612" w14:font="MS Gothic"/>
                  <w14:uncheckedState w14:val="2610" w14:font="MS Gothic"/>
                </w14:checkbox>
              </w:sdtPr>
              <w:sdtContent>
                <w:r w:rsidR="00003F46" w:rsidRPr="001408D5">
                  <w:rPr>
                    <w:rFonts w:ascii="MS Gothic" w:eastAsia="MS Gothic" w:hAnsi="MS Gothic" w:hint="eastAsia"/>
                    <w:sz w:val="22"/>
                  </w:rPr>
                  <w:t>☒</w:t>
                </w:r>
              </w:sdtContent>
            </w:sdt>
            <w:r w:rsidR="00003F46" w:rsidRPr="001408D5">
              <w:rPr>
                <w:sz w:val="22"/>
              </w:rPr>
              <w:t xml:space="preserve"> Not Met</w:t>
            </w:r>
          </w:p>
          <w:p w14:paraId="30860251" w14:textId="29183D2C" w:rsidR="00003F46" w:rsidRPr="00903F99" w:rsidRDefault="00000000" w:rsidP="00003F46">
            <w:pPr>
              <w:spacing w:before="0" w:after="0"/>
              <w:contextualSpacing/>
              <w:rPr>
                <w:sz w:val="22"/>
              </w:rPr>
            </w:pPr>
            <w:sdt>
              <w:sdtPr>
                <w:rPr>
                  <w:sz w:val="22"/>
                </w:rPr>
                <w:id w:val="-1478455269"/>
                <w14:checkbox>
                  <w14:checked w14:val="0"/>
                  <w14:checkedState w14:val="2612" w14:font="MS Gothic"/>
                  <w14:uncheckedState w14:val="2610" w14:font="MS Gothic"/>
                </w14:checkbox>
              </w:sdtPr>
              <w:sdtContent>
                <w:r w:rsidR="00003F46" w:rsidRPr="001408D5">
                  <w:rPr>
                    <w:rFonts w:ascii="MS Gothic" w:eastAsia="MS Gothic" w:hAnsi="MS Gothic" w:hint="eastAsia"/>
                    <w:sz w:val="22"/>
                  </w:rPr>
                  <w:t>☐</w:t>
                </w:r>
              </w:sdtContent>
            </w:sdt>
            <w:r w:rsidR="00003F46" w:rsidRPr="001408D5">
              <w:rPr>
                <w:sz w:val="22"/>
              </w:rPr>
              <w:t xml:space="preserve"> NA</w:t>
            </w:r>
          </w:p>
        </w:tc>
      </w:tr>
      <w:tr w:rsidR="00003F46" w:rsidRPr="00903F99" w14:paraId="7DC43505" w14:textId="77777777" w:rsidTr="00B96827">
        <w:trPr>
          <w:trHeight w:val="374"/>
          <w:jc w:val="center"/>
        </w:trPr>
        <w:tc>
          <w:tcPr>
            <w:tcW w:w="6745" w:type="dxa"/>
            <w:gridSpan w:val="2"/>
            <w:vMerge/>
          </w:tcPr>
          <w:p w14:paraId="2FC6793D" w14:textId="77777777" w:rsidR="00003F46" w:rsidRPr="00903F99" w:rsidRDefault="00003F46" w:rsidP="00595A8D">
            <w:pPr>
              <w:pStyle w:val="HSAGNumbers"/>
              <w:numPr>
                <w:ilvl w:val="0"/>
                <w:numId w:val="16"/>
              </w:numPr>
              <w:spacing w:before="0" w:after="0"/>
              <w:contextualSpacing/>
            </w:pPr>
          </w:p>
        </w:tc>
        <w:tc>
          <w:tcPr>
            <w:tcW w:w="5840" w:type="dxa"/>
            <w:gridSpan w:val="2"/>
            <w:shd w:val="clear" w:color="auto" w:fill="FFFFFF" w:themeFill="background1"/>
          </w:tcPr>
          <w:p w14:paraId="21EF90C9" w14:textId="77777777" w:rsidR="00003F46" w:rsidRPr="001408D5" w:rsidRDefault="00003F46" w:rsidP="00003F46">
            <w:pPr>
              <w:pStyle w:val="HSAGTableText"/>
              <w:contextualSpacing/>
              <w:rPr>
                <w:b/>
                <w:bCs/>
              </w:rPr>
            </w:pPr>
            <w:r w:rsidRPr="001408D5">
              <w:rPr>
                <w:b/>
                <w:bCs/>
              </w:rPr>
              <w:t>Evidence as Submitted by the PIHP:</w:t>
            </w:r>
          </w:p>
          <w:p w14:paraId="6218554E" w14:textId="77777777" w:rsidR="00003F46" w:rsidRDefault="00003F46" w:rsidP="00595A8D">
            <w:pPr>
              <w:pStyle w:val="HSAGTableText"/>
              <w:numPr>
                <w:ilvl w:val="0"/>
                <w:numId w:val="22"/>
              </w:numPr>
              <w:contextualSpacing/>
            </w:pPr>
            <w:r w:rsidRPr="001408D5">
              <w:t>S8_E19_E20_Breach Notification page 6 of 10</w:t>
            </w:r>
          </w:p>
          <w:p w14:paraId="6C25E1C3" w14:textId="13B000B8" w:rsidR="00003F46" w:rsidRPr="00903F99" w:rsidRDefault="00003F46" w:rsidP="00595A8D">
            <w:pPr>
              <w:pStyle w:val="HSAGTableText"/>
              <w:numPr>
                <w:ilvl w:val="0"/>
                <w:numId w:val="22"/>
              </w:numPr>
              <w:contextualSpacing/>
            </w:pPr>
            <w:r w:rsidRPr="001408D5">
              <w:t xml:space="preserve">S8_E11_E13_E20_Breach Tracking </w:t>
            </w:r>
          </w:p>
        </w:tc>
        <w:tc>
          <w:tcPr>
            <w:tcW w:w="1426" w:type="dxa"/>
            <w:vMerge/>
            <w:shd w:val="clear" w:color="auto" w:fill="FFFFFF" w:themeFill="background1"/>
          </w:tcPr>
          <w:p w14:paraId="0452F66C" w14:textId="77777777" w:rsidR="00003F46" w:rsidRPr="00903F99" w:rsidRDefault="00003F46" w:rsidP="00003F46">
            <w:pPr>
              <w:spacing w:before="0" w:after="0"/>
              <w:contextualSpacing/>
              <w:rPr>
                <w:sz w:val="22"/>
              </w:rPr>
            </w:pPr>
          </w:p>
        </w:tc>
      </w:tr>
      <w:tr w:rsidR="00003F46" w:rsidRPr="00903F99" w14:paraId="1B9332FB" w14:textId="77777777" w:rsidTr="004E3199">
        <w:trPr>
          <w:trHeight w:val="374"/>
          <w:jc w:val="center"/>
        </w:trPr>
        <w:tc>
          <w:tcPr>
            <w:tcW w:w="14011" w:type="dxa"/>
            <w:gridSpan w:val="5"/>
            <w:vAlign w:val="center"/>
          </w:tcPr>
          <w:p w14:paraId="6B32EBF6" w14:textId="76C71E9F" w:rsidR="00003F46" w:rsidRPr="00903F99" w:rsidRDefault="00003F46" w:rsidP="00003F46">
            <w:pPr>
              <w:pStyle w:val="HSAGTableText"/>
              <w:spacing w:before="0" w:after="0"/>
            </w:pPr>
            <w:r w:rsidRPr="001408D5">
              <w:rPr>
                <w:b/>
              </w:rPr>
              <w:t>PIHP Description of Process:</w:t>
            </w:r>
            <w:r w:rsidRPr="001408D5">
              <w:t xml:space="preserve"> The NMRE notifies the appropriate entities as specified by regulations. In instances of more than 500 individuals breached, the NMRE uses the HHS website for guidance. In the instances of less than 500 individuals being involved in a breach, the NMRE tracks the breach via a tracking spreadsheet. </w:t>
            </w:r>
          </w:p>
        </w:tc>
      </w:tr>
      <w:tr w:rsidR="00003F46" w:rsidRPr="0026679F" w14:paraId="17E2D360" w14:textId="77777777" w:rsidTr="004E3199">
        <w:trPr>
          <w:trHeight w:val="374"/>
          <w:jc w:val="center"/>
        </w:trPr>
        <w:tc>
          <w:tcPr>
            <w:tcW w:w="14011" w:type="dxa"/>
            <w:gridSpan w:val="5"/>
            <w:tcBorders>
              <w:bottom w:val="single" w:sz="4" w:space="0" w:color="000000"/>
            </w:tcBorders>
            <w:vAlign w:val="center"/>
          </w:tcPr>
          <w:p w14:paraId="4FEEBE62" w14:textId="77777777" w:rsidR="00003F46" w:rsidRPr="001408D5" w:rsidRDefault="00003F46" w:rsidP="00003F46">
            <w:pPr>
              <w:pStyle w:val="HSAGTableText"/>
            </w:pPr>
            <w:r w:rsidRPr="001408D5">
              <w:rPr>
                <w:b/>
              </w:rPr>
              <w:t>HSAG Findings:</w:t>
            </w:r>
            <w:r w:rsidRPr="001408D5">
              <w:t xml:space="preserve"> Although the PIHP’s </w:t>
            </w:r>
            <w:r w:rsidRPr="001408D5">
              <w:rPr>
                <w:i/>
                <w:iCs/>
              </w:rPr>
              <w:t>Breach Notification</w:t>
            </w:r>
            <w:r w:rsidRPr="001408D5">
              <w:t xml:space="preserve"> policy included many of the requirements under federal rule, PIHP staff members indicated that the delegated entities were responsible for providing notification to the Secretary for breaches of unsecured PHI. The PIHP did not initially provide evidence supporting sub-element (b), “fo</w:t>
            </w:r>
            <w:r w:rsidRPr="001408D5">
              <w:rPr>
                <w:iCs/>
              </w:rPr>
              <w:t xml:space="preserve">r breaches of unsecured PHI involving less than 500 individuals, the PIHP must maintain a log or other documentation of such breaches and, not later than 60 days after the end of each calendar year, provide the notification for breaches discovered during the preceding calendar year, in the manner specified on the HHS website.” Following the site review, </w:t>
            </w:r>
            <w:r w:rsidRPr="001408D5">
              <w:t xml:space="preserve">HSAG requested the PIHP provide evidence for the three examples of unauthorized disclosures of PHI and breaches demonstrating that the CMHSPs notified HHS and evidence of the submission to HHS website. Following the site review, the PIHP responded that there is “no evidence for this element” and that “NMRE will work with CMHSPs for training and technical assistance to meet requirements.” </w:t>
            </w:r>
          </w:p>
          <w:p w14:paraId="79178F56" w14:textId="150AA2ED" w:rsidR="00003F46" w:rsidRPr="0026679F" w:rsidRDefault="00003F46" w:rsidP="00003F46">
            <w:pPr>
              <w:pStyle w:val="HSAGTableText"/>
              <w:spacing w:before="0"/>
            </w:pPr>
            <w:r w:rsidRPr="001408D5">
              <w:rPr>
                <w:b/>
                <w:bCs/>
              </w:rPr>
              <w:t>Recommendations:</w:t>
            </w:r>
            <w:r w:rsidRPr="001408D5">
              <w:t xml:space="preserve"> Although the PIHP submitted its </w:t>
            </w:r>
            <w:r w:rsidRPr="001408D5">
              <w:rPr>
                <w:i/>
                <w:iCs/>
              </w:rPr>
              <w:t>Breach Notification</w:t>
            </w:r>
            <w:r w:rsidRPr="001408D5">
              <w:t xml:space="preserve"> policy outlining the requirements under this element, and confirmed the CMHSPs are responsible for providing notification to HHS, HSAG strongly recommends that the PIHP develop a formal process to receive and track its delegates’ unauthorized disclosures of PHI and breaches to ensure its delegates are providing notification to affected individuals, and the media as </w:t>
            </w:r>
            <w:r w:rsidRPr="001408D5">
              <w:lastRenderedPageBreak/>
              <w:t xml:space="preserve">applicable, and notifying the PIHP as well as the Secretary as required. If the PIHP does not demonstrate adequate implementation of HSAG’s recommendations during future compliance reviews, the PIHP may receive a </w:t>
            </w:r>
            <w:r w:rsidRPr="001408D5">
              <w:rPr>
                <w:i/>
                <w:iCs/>
              </w:rPr>
              <w:t>Not Met</w:t>
            </w:r>
            <w:r w:rsidRPr="001408D5">
              <w:t xml:space="preserve"> score.</w:t>
            </w:r>
          </w:p>
        </w:tc>
      </w:tr>
      <w:tr w:rsidR="00003F46" w:rsidRPr="0026679F" w14:paraId="1F0DE09C" w14:textId="77777777" w:rsidTr="004E3199">
        <w:trPr>
          <w:trHeight w:val="374"/>
          <w:jc w:val="center"/>
        </w:trPr>
        <w:tc>
          <w:tcPr>
            <w:tcW w:w="14011" w:type="dxa"/>
            <w:gridSpan w:val="5"/>
            <w:tcBorders>
              <w:top w:val="single" w:sz="4" w:space="0" w:color="000000"/>
              <w:bottom w:val="single" w:sz="4" w:space="0" w:color="auto"/>
            </w:tcBorders>
            <w:vAlign w:val="center"/>
          </w:tcPr>
          <w:p w14:paraId="73D3CA89" w14:textId="54191219" w:rsidR="00003F46" w:rsidRPr="0026679F" w:rsidRDefault="00003F46" w:rsidP="00003F46">
            <w:pPr>
              <w:pStyle w:val="HSAGTableText"/>
              <w:rPr>
                <w:b/>
              </w:rPr>
            </w:pPr>
            <w:r w:rsidRPr="001408D5">
              <w:rPr>
                <w:b/>
              </w:rPr>
              <w:lastRenderedPageBreak/>
              <w:t>Required Actions:</w:t>
            </w:r>
            <w:r w:rsidRPr="001408D5">
              <w:t xml:space="preserve"> The PIHP must, following the discovery of a breach of unsecured PHI, notify the Secretary. For breaches of unsecured PHI involving 500 or more individuals, the PIHP must, except as provided in 45 CFR §164.412, provide the notification contemporaneously with the notice required by 45 CFR §164.404(a) and in the manner specified on the HHS website. For breaches of unsecured PHI involving less than 500 individuals, the PIHP must maintain a log or other documentation of such breaches and, not later than 60 days after the end of each calendar year, provide the notification for breaches discovered during the preceding calendar year, in the manner specified on the HHS website.</w:t>
            </w:r>
          </w:p>
        </w:tc>
      </w:tr>
      <w:tr w:rsidR="00003F46" w:rsidRPr="00D16F05" w14:paraId="12E921CA" w14:textId="77777777" w:rsidTr="0065503C">
        <w:tblPrEx>
          <w:tblCellMar>
            <w:left w:w="108" w:type="dxa"/>
            <w:right w:w="108" w:type="dxa"/>
          </w:tblCellMar>
        </w:tblPrEx>
        <w:trPr>
          <w:gridBefore w:val="1"/>
          <w:wBefore w:w="7" w:type="dxa"/>
          <w:trHeight w:val="374"/>
          <w:jc w:val="center"/>
        </w:trPr>
        <w:tc>
          <w:tcPr>
            <w:tcW w:w="14004" w:type="dxa"/>
            <w:gridSpan w:val="4"/>
            <w:tcBorders>
              <w:top w:val="single" w:sz="4" w:space="0" w:color="auto"/>
              <w:bottom w:val="single" w:sz="4" w:space="0" w:color="000000" w:themeColor="text1"/>
            </w:tcBorders>
            <w:shd w:val="clear" w:color="auto" w:fill="F79548" w:themeFill="accent4"/>
          </w:tcPr>
          <w:p w14:paraId="726E7771" w14:textId="77777777" w:rsidR="00003F46" w:rsidRPr="00D16F05" w:rsidRDefault="00003F46" w:rsidP="00003F46">
            <w:pPr>
              <w:pStyle w:val="HSAGTableText"/>
              <w:keepNext/>
              <w:contextualSpacing/>
              <w:rPr>
                <w:b/>
              </w:rPr>
            </w:pPr>
            <w:r>
              <w:rPr>
                <w:b/>
              </w:rPr>
              <w:t>PIHP Corrective Action Plan</w:t>
            </w:r>
          </w:p>
        </w:tc>
      </w:tr>
      <w:tr w:rsidR="00003F46" w:rsidRPr="00984D92" w14:paraId="7188B901" w14:textId="77777777" w:rsidTr="0065503C">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14C2000D" w14:textId="5D48DC04" w:rsidR="00003F46" w:rsidRPr="009E2556" w:rsidRDefault="00003F46" w:rsidP="00003F46">
            <w:pPr>
              <w:pStyle w:val="HSAGTableText"/>
              <w:contextualSpacing/>
              <w:rPr>
                <w:bCs/>
                <w:szCs w:val="22"/>
              </w:rPr>
            </w:pPr>
            <w:r w:rsidRPr="009E2556">
              <w:rPr>
                <w:b/>
                <w:szCs w:val="22"/>
              </w:rPr>
              <w:t>Root Cause Analysis:</w:t>
            </w:r>
            <w:r w:rsidRPr="009E2556">
              <w:rPr>
                <w:bCs/>
                <w:szCs w:val="22"/>
              </w:rPr>
              <w:t xml:space="preserve"> </w:t>
            </w:r>
            <w:r w:rsidR="00D03F23" w:rsidRPr="009E2556">
              <w:rPr>
                <w:rStyle w:val="normaltextrun"/>
                <w:color w:val="000000"/>
                <w:szCs w:val="22"/>
                <w:shd w:val="clear" w:color="auto" w:fill="FFFFFF"/>
              </w:rPr>
              <w:t>NMRE’s Breach Notification Policy includes language regarding notification to the Secretary of Health and Human Services (HHS); however, NMRE did not have a documented process to verify or retain evidence that its Community Mental Health Services Program (CMHSP) delegates completed HHS breach notifications as required under 45 CFR §164.408. During the review period, NMRE did not maintain a central record of whether delegate-reported breaches were submitted to HHS for incidents involving fewer than 500 individuals.</w:t>
            </w:r>
          </w:p>
        </w:tc>
      </w:tr>
      <w:tr w:rsidR="00003F46" w:rsidRPr="00FC2C0F" w14:paraId="7AE9848B" w14:textId="77777777" w:rsidTr="0065503C">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7C06AA60" w14:textId="77777777" w:rsidR="00D03F23" w:rsidRPr="009E2556" w:rsidRDefault="00003F46" w:rsidP="00D03F23">
            <w:pPr>
              <w:pStyle w:val="paragraph"/>
              <w:spacing w:before="0" w:beforeAutospacing="0" w:after="0" w:afterAutospacing="0"/>
              <w:textAlignment w:val="baseline"/>
              <w:rPr>
                <w:color w:val="000000"/>
                <w:sz w:val="22"/>
                <w:szCs w:val="22"/>
              </w:rPr>
            </w:pPr>
            <w:r w:rsidRPr="009E2556">
              <w:rPr>
                <w:b/>
                <w:sz w:val="22"/>
                <w:szCs w:val="22"/>
              </w:rPr>
              <w:t>PIHP Remediation Plan:</w:t>
            </w:r>
            <w:r w:rsidRPr="009E2556">
              <w:rPr>
                <w:bCs/>
                <w:sz w:val="22"/>
                <w:szCs w:val="22"/>
              </w:rPr>
              <w:t xml:space="preserve"> </w:t>
            </w:r>
            <w:r w:rsidR="00D03F23" w:rsidRPr="009E2556">
              <w:rPr>
                <w:rStyle w:val="normaltextrun"/>
                <w:color w:val="000000"/>
                <w:sz w:val="22"/>
                <w:szCs w:val="22"/>
              </w:rPr>
              <w:t>NMRE will formalize oversight procedures to ensure that all required notifications to the Secretary of Health and Human Services (HHS) are completed in compliance with 45 CFR §164.408.</w:t>
            </w:r>
            <w:r w:rsidR="00D03F23" w:rsidRPr="009E2556">
              <w:rPr>
                <w:rStyle w:val="scxw141758780"/>
                <w:color w:val="000000"/>
                <w:sz w:val="22"/>
                <w:szCs w:val="22"/>
              </w:rPr>
              <w:t> </w:t>
            </w:r>
            <w:r w:rsidR="00D03F23" w:rsidRPr="009E2556">
              <w:rPr>
                <w:color w:val="000000"/>
                <w:sz w:val="22"/>
                <w:szCs w:val="22"/>
              </w:rPr>
              <w:br/>
            </w:r>
            <w:r w:rsidR="00D03F23" w:rsidRPr="009E2556">
              <w:rPr>
                <w:rStyle w:val="normaltextrun"/>
                <w:color w:val="000000"/>
                <w:sz w:val="22"/>
                <w:szCs w:val="22"/>
              </w:rPr>
              <w:t xml:space="preserve">This corrective action is addressed as part of the broader enhancements outlined in </w:t>
            </w:r>
            <w:r w:rsidR="00D03F23" w:rsidRPr="009E2556">
              <w:rPr>
                <w:rStyle w:val="normaltextrun"/>
                <w:b/>
                <w:bCs/>
                <w:color w:val="000000"/>
                <w:sz w:val="22"/>
                <w:szCs w:val="22"/>
              </w:rPr>
              <w:t>Standard VIII, Item #11</w:t>
            </w:r>
            <w:r w:rsidR="00D03F23" w:rsidRPr="009E2556">
              <w:rPr>
                <w:rStyle w:val="normaltextrun"/>
                <w:color w:val="000000"/>
                <w:sz w:val="22"/>
                <w:szCs w:val="22"/>
              </w:rPr>
              <w:t xml:space="preserve"> (“Delegate Oversight and Reporting”).</w:t>
            </w:r>
            <w:r w:rsidR="00D03F23" w:rsidRPr="009E2556">
              <w:rPr>
                <w:rStyle w:val="eop"/>
                <w:color w:val="000000"/>
                <w:sz w:val="22"/>
                <w:szCs w:val="22"/>
              </w:rPr>
              <w:t> </w:t>
            </w:r>
          </w:p>
          <w:p w14:paraId="26C3211C" w14:textId="77777777" w:rsidR="00D03F23" w:rsidRPr="009E2556" w:rsidRDefault="00D03F23" w:rsidP="00D03F23">
            <w:pPr>
              <w:pStyle w:val="paragraph"/>
              <w:spacing w:before="0" w:beforeAutospacing="0" w:after="0" w:afterAutospacing="0"/>
              <w:textAlignment w:val="baseline"/>
              <w:rPr>
                <w:color w:val="000000"/>
                <w:sz w:val="22"/>
                <w:szCs w:val="22"/>
              </w:rPr>
            </w:pPr>
            <w:r w:rsidRPr="009E2556">
              <w:rPr>
                <w:rStyle w:val="normaltextrun"/>
                <w:color w:val="000000"/>
                <w:sz w:val="22"/>
                <w:szCs w:val="22"/>
              </w:rPr>
              <w:t>Specifically, NMRE will:</w:t>
            </w:r>
            <w:r w:rsidRPr="009E2556">
              <w:rPr>
                <w:rStyle w:val="eop"/>
                <w:color w:val="000000"/>
                <w:sz w:val="22"/>
                <w:szCs w:val="22"/>
              </w:rPr>
              <w:t> </w:t>
            </w:r>
          </w:p>
          <w:p w14:paraId="26D9E8F2" w14:textId="77777777" w:rsidR="00D03F23" w:rsidRPr="009E2556" w:rsidRDefault="00D03F23" w:rsidP="00B96827">
            <w:pPr>
              <w:pStyle w:val="paragraph"/>
              <w:numPr>
                <w:ilvl w:val="0"/>
                <w:numId w:val="54"/>
              </w:numPr>
              <w:spacing w:before="0" w:beforeAutospacing="0" w:after="0" w:afterAutospacing="0"/>
              <w:ind w:left="150" w:firstLine="0"/>
              <w:textAlignment w:val="baseline"/>
              <w:rPr>
                <w:color w:val="000000"/>
                <w:sz w:val="22"/>
                <w:szCs w:val="22"/>
              </w:rPr>
            </w:pPr>
            <w:r w:rsidRPr="009E2556">
              <w:rPr>
                <w:rStyle w:val="normaltextrun"/>
                <w:b/>
                <w:bCs/>
                <w:color w:val="000000"/>
                <w:sz w:val="22"/>
                <w:szCs w:val="22"/>
              </w:rPr>
              <w:t>Update Policy and Procedure:</w:t>
            </w:r>
            <w:r w:rsidRPr="009E2556">
              <w:rPr>
                <w:rStyle w:val="eop"/>
                <w:color w:val="000000"/>
                <w:sz w:val="22"/>
                <w:szCs w:val="22"/>
              </w:rPr>
              <w:t> </w:t>
            </w:r>
          </w:p>
          <w:p w14:paraId="10CA411E" w14:textId="77777777" w:rsidR="00D03F23" w:rsidRPr="009E2556" w:rsidRDefault="00D03F23" w:rsidP="00B96827">
            <w:pPr>
              <w:pStyle w:val="paragraph"/>
              <w:numPr>
                <w:ilvl w:val="0"/>
                <w:numId w:val="55"/>
              </w:numPr>
              <w:spacing w:before="0" w:beforeAutospacing="0" w:after="0" w:afterAutospacing="0"/>
              <w:ind w:left="150" w:firstLine="0"/>
              <w:textAlignment w:val="baseline"/>
              <w:rPr>
                <w:color w:val="000000"/>
                <w:sz w:val="22"/>
                <w:szCs w:val="22"/>
              </w:rPr>
            </w:pPr>
            <w:r w:rsidRPr="009E2556">
              <w:rPr>
                <w:rStyle w:val="normaltextrun"/>
                <w:color w:val="000000"/>
                <w:sz w:val="22"/>
                <w:szCs w:val="22"/>
              </w:rPr>
              <w:t>Revise the Breach Notification Policy and Procedure to include clear instructions for both NMRE and delegate responsibilities related to HHS notification.</w:t>
            </w:r>
            <w:r w:rsidRPr="009E2556">
              <w:rPr>
                <w:rStyle w:val="eop"/>
                <w:color w:val="000000"/>
                <w:sz w:val="22"/>
                <w:szCs w:val="22"/>
              </w:rPr>
              <w:t> </w:t>
            </w:r>
          </w:p>
          <w:p w14:paraId="3A30CE07" w14:textId="77777777" w:rsidR="00D03F23" w:rsidRPr="009E2556" w:rsidRDefault="00D03F23" w:rsidP="00B96827">
            <w:pPr>
              <w:pStyle w:val="paragraph"/>
              <w:numPr>
                <w:ilvl w:val="0"/>
                <w:numId w:val="56"/>
              </w:numPr>
              <w:spacing w:before="0" w:beforeAutospacing="0" w:after="0" w:afterAutospacing="0"/>
              <w:ind w:left="150" w:firstLine="0"/>
              <w:textAlignment w:val="baseline"/>
              <w:rPr>
                <w:color w:val="000000"/>
                <w:sz w:val="22"/>
                <w:szCs w:val="22"/>
              </w:rPr>
            </w:pPr>
            <w:r w:rsidRPr="009E2556">
              <w:rPr>
                <w:rStyle w:val="normaltextrun"/>
                <w:color w:val="000000"/>
                <w:sz w:val="22"/>
                <w:szCs w:val="22"/>
              </w:rPr>
              <w:t xml:space="preserve">Require CMHSP delegates to submit confirmation of HHS notification to NMRE for all breaches involving </w:t>
            </w:r>
            <w:r w:rsidRPr="009E2556">
              <w:rPr>
                <w:rStyle w:val="normaltextrun"/>
                <w:b/>
                <w:bCs/>
                <w:color w:val="000000"/>
                <w:sz w:val="22"/>
                <w:szCs w:val="22"/>
              </w:rPr>
              <w:t>500 or more individuals</w:t>
            </w:r>
            <w:r w:rsidRPr="009E2556">
              <w:rPr>
                <w:rStyle w:val="normaltextrun"/>
                <w:color w:val="000000"/>
                <w:sz w:val="22"/>
                <w:szCs w:val="22"/>
              </w:rPr>
              <w:t xml:space="preserve"> at the time notification is made, and to provide </w:t>
            </w:r>
            <w:r w:rsidRPr="009E2556">
              <w:rPr>
                <w:rStyle w:val="normaltextrun"/>
                <w:b/>
                <w:bCs/>
                <w:color w:val="000000"/>
                <w:sz w:val="22"/>
                <w:szCs w:val="22"/>
              </w:rPr>
              <w:t>annual confirmation</w:t>
            </w:r>
            <w:r w:rsidRPr="009E2556">
              <w:rPr>
                <w:rStyle w:val="normaltextrun"/>
                <w:color w:val="000000"/>
                <w:sz w:val="22"/>
                <w:szCs w:val="22"/>
              </w:rPr>
              <w:t xml:space="preserve"> of HHS reporting for breaches involving </w:t>
            </w:r>
            <w:r w:rsidRPr="009E2556">
              <w:rPr>
                <w:rStyle w:val="normaltextrun"/>
                <w:b/>
                <w:bCs/>
                <w:color w:val="000000"/>
                <w:sz w:val="22"/>
                <w:szCs w:val="22"/>
              </w:rPr>
              <w:t>fewer than 500 individuals</w:t>
            </w:r>
            <w:r w:rsidRPr="009E2556">
              <w:rPr>
                <w:rStyle w:val="normaltextrun"/>
                <w:color w:val="000000"/>
                <w:sz w:val="22"/>
                <w:szCs w:val="22"/>
              </w:rPr>
              <w:t>.</w:t>
            </w:r>
            <w:r w:rsidRPr="009E2556">
              <w:rPr>
                <w:rStyle w:val="eop"/>
                <w:color w:val="000000"/>
                <w:sz w:val="22"/>
                <w:szCs w:val="22"/>
              </w:rPr>
              <w:t> </w:t>
            </w:r>
          </w:p>
          <w:p w14:paraId="7D5CA9DF" w14:textId="77777777" w:rsidR="00D03F23" w:rsidRPr="009E2556" w:rsidRDefault="00D03F23" w:rsidP="00B96827">
            <w:pPr>
              <w:pStyle w:val="paragraph"/>
              <w:numPr>
                <w:ilvl w:val="0"/>
                <w:numId w:val="57"/>
              </w:numPr>
              <w:spacing w:before="0" w:beforeAutospacing="0" w:after="0" w:afterAutospacing="0"/>
              <w:ind w:left="150" w:firstLine="0"/>
              <w:textAlignment w:val="baseline"/>
              <w:rPr>
                <w:color w:val="000000"/>
                <w:sz w:val="22"/>
                <w:szCs w:val="22"/>
              </w:rPr>
            </w:pPr>
            <w:r w:rsidRPr="009E2556">
              <w:rPr>
                <w:rStyle w:val="normaltextrun"/>
                <w:b/>
                <w:bCs/>
                <w:color w:val="000000"/>
                <w:sz w:val="22"/>
                <w:szCs w:val="22"/>
              </w:rPr>
              <w:t>Centralized Tracking and Documentation:</w:t>
            </w:r>
            <w:r w:rsidRPr="009E2556">
              <w:rPr>
                <w:rStyle w:val="eop"/>
                <w:color w:val="000000"/>
                <w:sz w:val="22"/>
                <w:szCs w:val="22"/>
              </w:rPr>
              <w:t> </w:t>
            </w:r>
          </w:p>
          <w:p w14:paraId="66EDCD37" w14:textId="77777777" w:rsidR="00D03F23" w:rsidRPr="009E2556" w:rsidRDefault="00D03F23" w:rsidP="00B96827">
            <w:pPr>
              <w:pStyle w:val="paragraph"/>
              <w:numPr>
                <w:ilvl w:val="0"/>
                <w:numId w:val="58"/>
              </w:numPr>
              <w:spacing w:before="0" w:beforeAutospacing="0" w:after="0" w:afterAutospacing="0"/>
              <w:ind w:left="150" w:firstLine="0"/>
              <w:textAlignment w:val="baseline"/>
              <w:rPr>
                <w:color w:val="000000"/>
                <w:sz w:val="22"/>
                <w:szCs w:val="22"/>
              </w:rPr>
            </w:pPr>
            <w:r w:rsidRPr="009E2556">
              <w:rPr>
                <w:rStyle w:val="normaltextrun"/>
                <w:color w:val="000000"/>
                <w:sz w:val="22"/>
                <w:szCs w:val="22"/>
              </w:rPr>
              <w:t xml:space="preserve">Incorporate HHS notification status into NMRE’s </w:t>
            </w:r>
            <w:r w:rsidRPr="009E2556">
              <w:rPr>
                <w:rStyle w:val="normaltextrun"/>
                <w:i/>
                <w:iCs/>
                <w:color w:val="000000"/>
                <w:sz w:val="22"/>
                <w:szCs w:val="22"/>
              </w:rPr>
              <w:t>Breach Tracking Log</w:t>
            </w:r>
            <w:r w:rsidRPr="009E2556">
              <w:rPr>
                <w:rStyle w:val="normaltextrun"/>
                <w:color w:val="000000"/>
                <w:sz w:val="22"/>
                <w:szCs w:val="22"/>
              </w:rPr>
              <w:t xml:space="preserve"> (developed under Item #11).</w:t>
            </w:r>
            <w:r w:rsidRPr="009E2556">
              <w:rPr>
                <w:rStyle w:val="eop"/>
                <w:color w:val="000000"/>
                <w:sz w:val="22"/>
                <w:szCs w:val="22"/>
              </w:rPr>
              <w:t> </w:t>
            </w:r>
          </w:p>
          <w:p w14:paraId="4BE6A4E6" w14:textId="77777777" w:rsidR="00D03F23" w:rsidRPr="009E2556" w:rsidRDefault="00D03F23" w:rsidP="00B96827">
            <w:pPr>
              <w:pStyle w:val="paragraph"/>
              <w:numPr>
                <w:ilvl w:val="0"/>
                <w:numId w:val="59"/>
              </w:numPr>
              <w:spacing w:before="0" w:beforeAutospacing="0" w:after="0" w:afterAutospacing="0"/>
              <w:ind w:left="150" w:firstLine="0"/>
              <w:textAlignment w:val="baseline"/>
              <w:rPr>
                <w:color w:val="000000"/>
                <w:sz w:val="22"/>
                <w:szCs w:val="22"/>
              </w:rPr>
            </w:pPr>
            <w:r w:rsidRPr="009E2556">
              <w:rPr>
                <w:rStyle w:val="normaltextrun"/>
                <w:color w:val="000000"/>
                <w:sz w:val="22"/>
                <w:szCs w:val="22"/>
              </w:rPr>
              <w:t>Include fields for “Date HHS Notification Submitted,” “Confirmation Received,” and “Annual Verification Completed.”</w:t>
            </w:r>
            <w:r w:rsidRPr="009E2556">
              <w:rPr>
                <w:rStyle w:val="eop"/>
                <w:color w:val="000000"/>
                <w:sz w:val="22"/>
                <w:szCs w:val="22"/>
              </w:rPr>
              <w:t> </w:t>
            </w:r>
          </w:p>
          <w:p w14:paraId="6A50F74D" w14:textId="77777777" w:rsidR="00D03F23" w:rsidRPr="009E2556" w:rsidRDefault="00D03F23" w:rsidP="00B96827">
            <w:pPr>
              <w:pStyle w:val="paragraph"/>
              <w:numPr>
                <w:ilvl w:val="0"/>
                <w:numId w:val="60"/>
              </w:numPr>
              <w:spacing w:before="0" w:beforeAutospacing="0" w:after="0" w:afterAutospacing="0"/>
              <w:ind w:left="150" w:firstLine="0"/>
              <w:textAlignment w:val="baseline"/>
              <w:rPr>
                <w:color w:val="000000"/>
                <w:sz w:val="22"/>
                <w:szCs w:val="22"/>
              </w:rPr>
            </w:pPr>
            <w:r w:rsidRPr="009E2556">
              <w:rPr>
                <w:rStyle w:val="normaltextrun"/>
                <w:color w:val="000000"/>
                <w:sz w:val="22"/>
                <w:szCs w:val="22"/>
              </w:rPr>
              <w:t>Maintain documentation of all delegate-submitted confirmations for at least six (6) years.</w:t>
            </w:r>
            <w:r w:rsidRPr="009E2556">
              <w:rPr>
                <w:rStyle w:val="eop"/>
                <w:color w:val="000000"/>
                <w:sz w:val="22"/>
                <w:szCs w:val="22"/>
              </w:rPr>
              <w:t> </w:t>
            </w:r>
          </w:p>
          <w:p w14:paraId="3F2C2674" w14:textId="77777777" w:rsidR="00D03F23" w:rsidRPr="009E2556" w:rsidRDefault="00D03F23" w:rsidP="00B96827">
            <w:pPr>
              <w:pStyle w:val="paragraph"/>
              <w:numPr>
                <w:ilvl w:val="0"/>
                <w:numId w:val="61"/>
              </w:numPr>
              <w:spacing w:before="0" w:beforeAutospacing="0" w:after="0" w:afterAutospacing="0"/>
              <w:ind w:left="150" w:firstLine="0"/>
              <w:textAlignment w:val="baseline"/>
              <w:rPr>
                <w:color w:val="000000"/>
                <w:sz w:val="22"/>
                <w:szCs w:val="22"/>
              </w:rPr>
            </w:pPr>
            <w:r w:rsidRPr="009E2556">
              <w:rPr>
                <w:rStyle w:val="normaltextrun"/>
                <w:b/>
                <w:bCs/>
                <w:color w:val="000000"/>
                <w:sz w:val="22"/>
                <w:szCs w:val="22"/>
              </w:rPr>
              <w:t>Annual Review and Verification:</w:t>
            </w:r>
            <w:r w:rsidRPr="009E2556">
              <w:rPr>
                <w:rStyle w:val="eop"/>
                <w:color w:val="000000"/>
                <w:sz w:val="22"/>
                <w:szCs w:val="22"/>
              </w:rPr>
              <w:t> </w:t>
            </w:r>
          </w:p>
          <w:p w14:paraId="1BCC160C" w14:textId="77777777" w:rsidR="00D03F23" w:rsidRPr="009E2556" w:rsidRDefault="00D03F23" w:rsidP="00B96827">
            <w:pPr>
              <w:pStyle w:val="paragraph"/>
              <w:numPr>
                <w:ilvl w:val="0"/>
                <w:numId w:val="62"/>
              </w:numPr>
              <w:spacing w:before="0" w:beforeAutospacing="0" w:after="0" w:afterAutospacing="0"/>
              <w:ind w:left="150" w:firstLine="0"/>
              <w:textAlignment w:val="baseline"/>
              <w:rPr>
                <w:color w:val="000000"/>
                <w:sz w:val="22"/>
                <w:szCs w:val="22"/>
              </w:rPr>
            </w:pPr>
            <w:r w:rsidRPr="009E2556">
              <w:rPr>
                <w:rStyle w:val="normaltextrun"/>
                <w:color w:val="000000"/>
                <w:sz w:val="22"/>
                <w:szCs w:val="22"/>
              </w:rPr>
              <w:t>NMRE’s Compliance Department will conduct an annual review of the Breach Tracking Log to verify that all breaches have been properly reported to HHS in the manner specified on the HHS website.</w:t>
            </w:r>
            <w:r w:rsidRPr="009E2556">
              <w:rPr>
                <w:rStyle w:val="eop"/>
                <w:color w:val="000000"/>
                <w:sz w:val="22"/>
                <w:szCs w:val="22"/>
              </w:rPr>
              <w:t> </w:t>
            </w:r>
          </w:p>
          <w:p w14:paraId="7F767F08" w14:textId="77777777" w:rsidR="00D03F23" w:rsidRPr="009E2556" w:rsidRDefault="00D03F23" w:rsidP="00B96827">
            <w:pPr>
              <w:pStyle w:val="paragraph"/>
              <w:numPr>
                <w:ilvl w:val="0"/>
                <w:numId w:val="63"/>
              </w:numPr>
              <w:spacing w:before="0" w:beforeAutospacing="0" w:after="0" w:afterAutospacing="0"/>
              <w:ind w:left="150" w:firstLine="0"/>
              <w:textAlignment w:val="baseline"/>
              <w:rPr>
                <w:color w:val="000000"/>
                <w:sz w:val="22"/>
                <w:szCs w:val="22"/>
              </w:rPr>
            </w:pPr>
            <w:r w:rsidRPr="009E2556">
              <w:rPr>
                <w:rStyle w:val="normaltextrun"/>
                <w:color w:val="000000"/>
                <w:sz w:val="22"/>
                <w:szCs w:val="22"/>
              </w:rPr>
              <w:t>Any missing or late notifications will be documented, and corrective action will be required of the delegate.</w:t>
            </w:r>
            <w:r w:rsidRPr="009E2556">
              <w:rPr>
                <w:rStyle w:val="eop"/>
                <w:color w:val="000000"/>
                <w:sz w:val="22"/>
                <w:szCs w:val="22"/>
              </w:rPr>
              <w:t> </w:t>
            </w:r>
          </w:p>
          <w:p w14:paraId="7FF44A57" w14:textId="77777777" w:rsidR="00D03F23" w:rsidRPr="009E2556" w:rsidRDefault="00D03F23" w:rsidP="00B96827">
            <w:pPr>
              <w:pStyle w:val="paragraph"/>
              <w:numPr>
                <w:ilvl w:val="0"/>
                <w:numId w:val="64"/>
              </w:numPr>
              <w:spacing w:before="0" w:beforeAutospacing="0" w:after="0" w:afterAutospacing="0"/>
              <w:ind w:left="150" w:firstLine="0"/>
              <w:textAlignment w:val="baseline"/>
              <w:rPr>
                <w:color w:val="000000"/>
                <w:sz w:val="22"/>
                <w:szCs w:val="22"/>
              </w:rPr>
            </w:pPr>
            <w:r w:rsidRPr="009E2556">
              <w:rPr>
                <w:rStyle w:val="normaltextrun"/>
                <w:b/>
                <w:bCs/>
                <w:color w:val="000000"/>
                <w:sz w:val="22"/>
                <w:szCs w:val="22"/>
              </w:rPr>
              <w:t>Training and Technical Assistance:</w:t>
            </w:r>
            <w:r w:rsidRPr="009E2556">
              <w:rPr>
                <w:rStyle w:val="eop"/>
                <w:color w:val="000000"/>
                <w:sz w:val="22"/>
                <w:szCs w:val="22"/>
              </w:rPr>
              <w:t> </w:t>
            </w:r>
          </w:p>
          <w:p w14:paraId="252E43BE" w14:textId="270A98E3" w:rsidR="00003F46" w:rsidRPr="009E2556" w:rsidRDefault="00D03F23" w:rsidP="00B96827">
            <w:pPr>
              <w:pStyle w:val="paragraph"/>
              <w:numPr>
                <w:ilvl w:val="0"/>
                <w:numId w:val="58"/>
              </w:numPr>
              <w:spacing w:before="0" w:beforeAutospacing="0" w:after="0" w:afterAutospacing="0"/>
              <w:ind w:left="150" w:firstLine="0"/>
              <w:textAlignment w:val="baseline"/>
              <w:rPr>
                <w:bCs/>
                <w:szCs w:val="22"/>
              </w:rPr>
            </w:pPr>
            <w:r w:rsidRPr="009E2556">
              <w:rPr>
                <w:rStyle w:val="normaltextrun"/>
                <w:color w:val="000000"/>
                <w:sz w:val="22"/>
                <w:szCs w:val="22"/>
              </w:rPr>
              <w:lastRenderedPageBreak/>
              <w:t>NMRE will provide technical assistance and training to CMHSP delegates to ensure they understand the process and timelines for reporting breaches to HHS and for submitting documentation to NMRE.</w:t>
            </w:r>
            <w:r w:rsidRPr="009E2556">
              <w:rPr>
                <w:rStyle w:val="eop"/>
                <w:color w:val="000000"/>
                <w:sz w:val="22"/>
                <w:szCs w:val="22"/>
              </w:rPr>
              <w:t> </w:t>
            </w:r>
          </w:p>
        </w:tc>
      </w:tr>
      <w:tr w:rsidR="00003F46" w:rsidRPr="00FC2C0F" w14:paraId="619C16D7" w14:textId="77777777" w:rsidTr="0065503C">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6B8ED55C" w14:textId="0A10AA96" w:rsidR="00003F46" w:rsidRPr="00B96827" w:rsidRDefault="00003F46" w:rsidP="00003F46">
            <w:pPr>
              <w:pStyle w:val="HSAGTableText"/>
              <w:contextualSpacing/>
              <w:rPr>
                <w:bCs/>
                <w:szCs w:val="22"/>
              </w:rPr>
            </w:pPr>
            <w:r w:rsidRPr="00B96827">
              <w:rPr>
                <w:b/>
                <w:szCs w:val="22"/>
              </w:rPr>
              <w:lastRenderedPageBreak/>
              <w:t>Responsible Individual(s):</w:t>
            </w:r>
            <w:r w:rsidRPr="00B96827">
              <w:rPr>
                <w:bCs/>
                <w:szCs w:val="22"/>
              </w:rPr>
              <w:t xml:space="preserve"> </w:t>
            </w:r>
            <w:r w:rsidR="00D03F23" w:rsidRPr="00B96827">
              <w:rPr>
                <w:rStyle w:val="normaltextrun"/>
                <w:color w:val="000000"/>
                <w:szCs w:val="22"/>
                <w:shd w:val="clear" w:color="auto" w:fill="FFFFFF"/>
              </w:rPr>
              <w:t>Brie Molaison, Compliance and Customer Services Officer</w:t>
            </w:r>
          </w:p>
        </w:tc>
      </w:tr>
      <w:tr w:rsidR="00003F46" w:rsidRPr="00FC2C0F" w14:paraId="79AFD13B" w14:textId="77777777" w:rsidTr="0065503C">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auto"/>
            </w:tcBorders>
          </w:tcPr>
          <w:p w14:paraId="320EFC89" w14:textId="77777777" w:rsidR="00D03F23" w:rsidRPr="00B96827" w:rsidRDefault="00003F46" w:rsidP="00D03F23">
            <w:pPr>
              <w:pStyle w:val="paragraph"/>
              <w:spacing w:before="0" w:beforeAutospacing="0" w:after="0" w:afterAutospacing="0"/>
              <w:textAlignment w:val="baseline"/>
              <w:rPr>
                <w:rFonts w:ascii="Segoe UI" w:hAnsi="Segoe UI" w:cs="Segoe UI"/>
                <w:color w:val="000000"/>
                <w:sz w:val="22"/>
                <w:szCs w:val="22"/>
              </w:rPr>
            </w:pPr>
            <w:r w:rsidRPr="00B96827">
              <w:rPr>
                <w:b/>
                <w:sz w:val="22"/>
                <w:szCs w:val="22"/>
              </w:rPr>
              <w:t>Timeline:</w:t>
            </w:r>
            <w:r w:rsidRPr="00B96827">
              <w:rPr>
                <w:bCs/>
                <w:sz w:val="22"/>
                <w:szCs w:val="22"/>
              </w:rPr>
              <w:t xml:space="preserve"> </w:t>
            </w:r>
            <w:r w:rsidR="00D03F23" w:rsidRPr="00B96827">
              <w:rPr>
                <w:rStyle w:val="normaltextrun"/>
                <w:color w:val="000000"/>
                <w:sz w:val="22"/>
                <w:szCs w:val="22"/>
              </w:rPr>
              <w:t>Policy revision and delegate notification requirements drafted: February – March 2026</w:t>
            </w:r>
            <w:r w:rsidR="00D03F23" w:rsidRPr="00B96827">
              <w:rPr>
                <w:rStyle w:val="eop"/>
                <w:color w:val="000000"/>
                <w:sz w:val="22"/>
                <w:szCs w:val="22"/>
              </w:rPr>
              <w:t> </w:t>
            </w:r>
          </w:p>
          <w:p w14:paraId="03FADD47" w14:textId="77777777" w:rsidR="00D03F23" w:rsidRPr="00B96827" w:rsidRDefault="00D03F23" w:rsidP="00D03F23">
            <w:pPr>
              <w:pStyle w:val="paragraph"/>
              <w:spacing w:before="0" w:beforeAutospacing="0" w:after="0" w:afterAutospacing="0"/>
              <w:textAlignment w:val="baseline"/>
              <w:rPr>
                <w:rFonts w:ascii="Segoe UI" w:hAnsi="Segoe UI" w:cs="Segoe UI"/>
                <w:color w:val="000000"/>
                <w:sz w:val="22"/>
                <w:szCs w:val="22"/>
              </w:rPr>
            </w:pPr>
            <w:r w:rsidRPr="00B96827">
              <w:rPr>
                <w:rStyle w:val="normaltextrun"/>
                <w:color w:val="000000"/>
                <w:sz w:val="22"/>
                <w:szCs w:val="22"/>
              </w:rPr>
              <w:t>Updated Breach Tracking Log fields implemented: April 2026</w:t>
            </w:r>
            <w:r w:rsidRPr="00B96827">
              <w:rPr>
                <w:rStyle w:val="eop"/>
                <w:color w:val="000000"/>
                <w:sz w:val="22"/>
                <w:szCs w:val="22"/>
              </w:rPr>
              <w:t> </w:t>
            </w:r>
          </w:p>
          <w:p w14:paraId="4A07A789" w14:textId="77777777" w:rsidR="00D03F23" w:rsidRPr="00B96827" w:rsidRDefault="00D03F23" w:rsidP="00D03F23">
            <w:pPr>
              <w:pStyle w:val="paragraph"/>
              <w:spacing w:before="0" w:beforeAutospacing="0" w:after="0" w:afterAutospacing="0"/>
              <w:textAlignment w:val="baseline"/>
              <w:rPr>
                <w:rFonts w:ascii="Segoe UI" w:hAnsi="Segoe UI" w:cs="Segoe UI"/>
                <w:color w:val="000000"/>
                <w:sz w:val="22"/>
                <w:szCs w:val="22"/>
              </w:rPr>
            </w:pPr>
            <w:r w:rsidRPr="00B96827">
              <w:rPr>
                <w:rStyle w:val="normaltextrun"/>
                <w:color w:val="000000"/>
                <w:sz w:val="22"/>
                <w:szCs w:val="22"/>
              </w:rPr>
              <w:t>Delegate training and first annual verification cycle initiated: December 2026</w:t>
            </w:r>
            <w:r w:rsidRPr="00B96827">
              <w:rPr>
                <w:rStyle w:val="eop"/>
                <w:color w:val="000000"/>
                <w:sz w:val="22"/>
                <w:szCs w:val="22"/>
              </w:rPr>
              <w:t> </w:t>
            </w:r>
          </w:p>
          <w:p w14:paraId="3C253004" w14:textId="31DBD006" w:rsidR="00003F46" w:rsidRPr="00B96827" w:rsidRDefault="00D03F23" w:rsidP="00B96827">
            <w:pPr>
              <w:pStyle w:val="paragraph"/>
              <w:spacing w:before="0" w:beforeAutospacing="0" w:after="0" w:afterAutospacing="0"/>
              <w:textAlignment w:val="baseline"/>
              <w:rPr>
                <w:rFonts w:ascii="Segoe UI" w:hAnsi="Segoe UI" w:cs="Segoe UI"/>
                <w:color w:val="000000"/>
                <w:sz w:val="22"/>
                <w:szCs w:val="22"/>
              </w:rPr>
            </w:pPr>
            <w:r w:rsidRPr="00B96827">
              <w:rPr>
                <w:rStyle w:val="normaltextrun"/>
                <w:color w:val="000000"/>
                <w:sz w:val="22"/>
                <w:szCs w:val="22"/>
              </w:rPr>
              <w:t>Full compliance demonstration: Next HSAG review cycle</w:t>
            </w:r>
            <w:r w:rsidRPr="00B96827">
              <w:rPr>
                <w:rStyle w:val="eop"/>
                <w:color w:val="000000"/>
                <w:sz w:val="22"/>
                <w:szCs w:val="22"/>
              </w:rPr>
              <w:t> </w:t>
            </w:r>
          </w:p>
        </w:tc>
      </w:tr>
      <w:tr w:rsidR="00003F46" w14:paraId="131DC931" w14:textId="77777777" w:rsidTr="0065503C">
        <w:tblPrEx>
          <w:tblCellMar>
            <w:left w:w="108" w:type="dxa"/>
            <w:right w:w="108" w:type="dxa"/>
          </w:tblCellMar>
        </w:tblPrEx>
        <w:trPr>
          <w:gridBefore w:val="1"/>
          <w:wBefore w:w="7" w:type="dxa"/>
          <w:trHeight w:val="374"/>
          <w:jc w:val="center"/>
        </w:trPr>
        <w:tc>
          <w:tcPr>
            <w:tcW w:w="10425" w:type="dxa"/>
            <w:gridSpan w:val="2"/>
            <w:tcBorders>
              <w:top w:val="single" w:sz="4" w:space="0" w:color="auto"/>
              <w:bottom w:val="single" w:sz="18" w:space="0" w:color="00549E" w:themeColor="text2"/>
            </w:tcBorders>
            <w:shd w:val="clear" w:color="auto" w:fill="F2F2F2" w:themeFill="background1" w:themeFillShade="F2"/>
          </w:tcPr>
          <w:p w14:paraId="68FAC515" w14:textId="71AB9073" w:rsidR="00003F46" w:rsidRPr="00FC2C0F" w:rsidRDefault="00003F46" w:rsidP="00003F46">
            <w:pPr>
              <w:pStyle w:val="HSAGTableText"/>
              <w:contextualSpacing/>
              <w:rPr>
                <w:bCs/>
              </w:rPr>
            </w:pPr>
            <w:r>
              <w:rPr>
                <w:b/>
              </w:rPr>
              <w:t>MDHHS/HSAG Response:</w:t>
            </w:r>
            <w:r>
              <w:rPr>
                <w:bCs/>
              </w:rPr>
              <w:t xml:space="preserve"> </w:t>
            </w:r>
            <w:r w:rsidR="00595A8D" w:rsidRPr="00595A8D">
              <w:rPr>
                <w:bCs/>
              </w:rPr>
              <w:t xml:space="preserve">The PIHP’s remediation plan is sufficient to ensure compliance with the requirements for this program area. While no additional information is required to be submitted at this time, the PIHP must proceed with </w:t>
            </w:r>
            <w:proofErr w:type="gramStart"/>
            <w:r w:rsidR="00595A8D" w:rsidRPr="00595A8D">
              <w:rPr>
                <w:bCs/>
              </w:rPr>
              <w:t>timely</w:t>
            </w:r>
            <w:proofErr w:type="gramEnd"/>
            <w:r w:rsidR="00595A8D" w:rsidRPr="00595A8D">
              <w:rPr>
                <w:bCs/>
              </w:rPr>
              <w:t xml:space="preserve"> implementation of its action plans. Please note, an </w:t>
            </w:r>
            <w:r w:rsidR="00595A8D" w:rsidRPr="00595A8D">
              <w:rPr>
                <w:bCs/>
                <w:i/>
                <w:iCs/>
              </w:rPr>
              <w:t>Accepted</w:t>
            </w:r>
            <w:r w:rsidR="00595A8D" w:rsidRPr="00595A8D">
              <w:rPr>
                <w:bCs/>
              </w:rPr>
              <w:t xml:space="preserve"> designation is not a guarantee of future compliance. Implementation of the PIHP’s action plans and demonstration of compliance will be assessed during future compliance review activities.</w:t>
            </w:r>
          </w:p>
        </w:tc>
        <w:tc>
          <w:tcPr>
            <w:tcW w:w="3579" w:type="dxa"/>
            <w:gridSpan w:val="2"/>
            <w:tcBorders>
              <w:top w:val="single" w:sz="4" w:space="0" w:color="auto"/>
              <w:bottom w:val="single" w:sz="18" w:space="0" w:color="00549E" w:themeColor="text2"/>
            </w:tcBorders>
            <w:shd w:val="clear" w:color="auto" w:fill="F2F2F2" w:themeFill="background1" w:themeFillShade="F2"/>
          </w:tcPr>
          <w:p w14:paraId="7767B22F" w14:textId="2ADD05F2" w:rsidR="00003F46" w:rsidRPr="00C123EE" w:rsidRDefault="00000000" w:rsidP="00003F46">
            <w:pPr>
              <w:pStyle w:val="HSAGTableText"/>
              <w:contextualSpacing/>
              <w:rPr>
                <w:bCs/>
              </w:rPr>
            </w:pPr>
            <w:sdt>
              <w:sdtPr>
                <w:rPr>
                  <w:bCs/>
                </w:rPr>
                <w:id w:val="764196039"/>
                <w14:checkbox>
                  <w14:checked w14:val="1"/>
                  <w14:checkedState w14:val="2612" w14:font="MS Gothic"/>
                  <w14:uncheckedState w14:val="2610" w14:font="MS Gothic"/>
                </w14:checkbox>
              </w:sdtPr>
              <w:sdtContent>
                <w:r w:rsidR="00595A8D">
                  <w:rPr>
                    <w:rFonts w:ascii="MS Gothic" w:eastAsia="MS Gothic" w:hAnsi="MS Gothic" w:hint="eastAsia"/>
                    <w:bCs/>
                  </w:rPr>
                  <w:t>☒</w:t>
                </w:r>
              </w:sdtContent>
            </w:sdt>
            <w:r w:rsidR="00003F46" w:rsidRPr="00C123EE">
              <w:rPr>
                <w:bCs/>
              </w:rPr>
              <w:t xml:space="preserve"> Accepted</w:t>
            </w:r>
          </w:p>
          <w:p w14:paraId="602BA311" w14:textId="77777777" w:rsidR="00003F46" w:rsidRPr="00C123EE" w:rsidRDefault="00000000" w:rsidP="00003F46">
            <w:pPr>
              <w:pStyle w:val="HSAGTableText"/>
              <w:contextualSpacing/>
              <w:rPr>
                <w:bCs/>
              </w:rPr>
            </w:pPr>
            <w:sdt>
              <w:sdtPr>
                <w:rPr>
                  <w:bCs/>
                </w:rPr>
                <w:id w:val="-1903976502"/>
                <w14:checkbox>
                  <w14:checked w14:val="0"/>
                  <w14:checkedState w14:val="2612" w14:font="MS Gothic"/>
                  <w14:uncheckedState w14:val="2610" w14:font="MS Gothic"/>
                </w14:checkbox>
              </w:sdtPr>
              <w:sdtContent>
                <w:r w:rsidR="00003F46" w:rsidRPr="00C123EE">
                  <w:rPr>
                    <w:rFonts w:ascii="MS Gothic" w:eastAsia="MS Gothic" w:hAnsi="MS Gothic" w:hint="eastAsia"/>
                    <w:bCs/>
                  </w:rPr>
                  <w:t>☐</w:t>
                </w:r>
              </w:sdtContent>
            </w:sdt>
            <w:r w:rsidR="00003F46" w:rsidRPr="00C123EE">
              <w:rPr>
                <w:bCs/>
              </w:rPr>
              <w:t xml:space="preserve"> Accepted </w:t>
            </w:r>
            <w:r w:rsidR="00003F46">
              <w:rPr>
                <w:bCs/>
              </w:rPr>
              <w:t>W</w:t>
            </w:r>
            <w:r w:rsidR="00003F46" w:rsidRPr="00C123EE">
              <w:rPr>
                <w:bCs/>
              </w:rPr>
              <w:t>ith Recommendations</w:t>
            </w:r>
          </w:p>
          <w:p w14:paraId="051BB5E5" w14:textId="77777777" w:rsidR="00003F46" w:rsidRDefault="00000000" w:rsidP="00003F46">
            <w:pPr>
              <w:pStyle w:val="HSAGTableText"/>
              <w:contextualSpacing/>
              <w:rPr>
                <w:b/>
              </w:rPr>
            </w:pPr>
            <w:sdt>
              <w:sdtPr>
                <w:rPr>
                  <w:bCs/>
                </w:rPr>
                <w:id w:val="1452902419"/>
                <w14:checkbox>
                  <w14:checked w14:val="0"/>
                  <w14:checkedState w14:val="2612" w14:font="MS Gothic"/>
                  <w14:uncheckedState w14:val="2610" w14:font="MS Gothic"/>
                </w14:checkbox>
              </w:sdtPr>
              <w:sdtContent>
                <w:r w:rsidR="00003F46" w:rsidRPr="00C123EE">
                  <w:rPr>
                    <w:rFonts w:ascii="MS Gothic" w:eastAsia="MS Gothic" w:hAnsi="MS Gothic" w:hint="eastAsia"/>
                    <w:bCs/>
                  </w:rPr>
                  <w:t>☐</w:t>
                </w:r>
              </w:sdtContent>
            </w:sdt>
            <w:r w:rsidR="00003F46" w:rsidRPr="00C123EE">
              <w:rPr>
                <w:bCs/>
              </w:rPr>
              <w:t xml:space="preserve"> Not Accepted</w:t>
            </w:r>
          </w:p>
        </w:tc>
      </w:tr>
      <w:tr w:rsidR="001F2246" w:rsidRPr="00903F99" w14:paraId="009206A6" w14:textId="77777777" w:rsidTr="00B96827">
        <w:trPr>
          <w:trHeight w:val="374"/>
          <w:jc w:val="center"/>
        </w:trPr>
        <w:tc>
          <w:tcPr>
            <w:tcW w:w="6745" w:type="dxa"/>
            <w:gridSpan w:val="2"/>
            <w:vMerge w:val="restart"/>
          </w:tcPr>
          <w:p w14:paraId="3BD9304E" w14:textId="77777777" w:rsidR="001F2246" w:rsidRPr="001408D5" w:rsidRDefault="001F2246" w:rsidP="001F2246">
            <w:pPr>
              <w:pStyle w:val="ListNoNum"/>
              <w:rPr>
                <w:i/>
                <w:iCs/>
              </w:rPr>
            </w:pPr>
            <w:r w:rsidRPr="001408D5">
              <w:rPr>
                <w:iCs/>
                <w:spacing w:val="-4"/>
              </w:rPr>
              <w:t>21.</w:t>
            </w:r>
            <w:r w:rsidRPr="001408D5">
              <w:rPr>
                <w:iCs/>
                <w:spacing w:val="-4"/>
              </w:rPr>
              <w:tab/>
            </w:r>
            <w:r w:rsidRPr="001408D5">
              <w:rPr>
                <w:iCs/>
              </w:rPr>
              <w:t>The PIHP must require its business associates (i.e., subcontractors) to, following the discovery of a breach of unsecured PHI, notify the PIHP of such breach.</w:t>
            </w:r>
          </w:p>
          <w:p w14:paraId="161F038C" w14:textId="77777777" w:rsidR="001F2246" w:rsidRPr="001408D5" w:rsidRDefault="001F2246" w:rsidP="001F2246">
            <w:pPr>
              <w:pStyle w:val="ListNoNum2"/>
              <w:ind w:left="692"/>
              <w:rPr>
                <w:i/>
                <w:iCs/>
              </w:rPr>
            </w:pPr>
            <w:r w:rsidRPr="001408D5">
              <w:rPr>
                <w:iCs/>
              </w:rPr>
              <w:t>a</w:t>
            </w:r>
            <w:proofErr w:type="gramStart"/>
            <w:r w:rsidRPr="001408D5">
              <w:rPr>
                <w:iCs/>
              </w:rPr>
              <w:t xml:space="preserve">. </w:t>
            </w:r>
            <w:r w:rsidRPr="001408D5">
              <w:rPr>
                <w:iCs/>
              </w:rPr>
              <w:tab/>
              <w:t>A</w:t>
            </w:r>
            <w:proofErr w:type="gramEnd"/>
            <w:r w:rsidRPr="001408D5">
              <w:rPr>
                <w:iCs/>
              </w:rPr>
              <w:t xml:space="preserve"> breach shall be treated as discovered by a business associate as of the first day on which </w:t>
            </w:r>
            <w:proofErr w:type="gramStart"/>
            <w:r w:rsidRPr="001408D5">
              <w:rPr>
                <w:iCs/>
              </w:rPr>
              <w:t>such breach</w:t>
            </w:r>
            <w:proofErr w:type="gramEnd"/>
            <w:r w:rsidRPr="001408D5">
              <w:rPr>
                <w:iCs/>
              </w:rPr>
              <w:t xml:space="preserve"> is known to the business associate or, by exercising reasonable diligence, would have been known to the business associate. A business associate shall be deemed to have knowledge of a breach if the breach is known, or by exercising reasonable diligence would have been known, to any person, other than the person committing the breach, who is an employee, officer, or other agent of the business associate.</w:t>
            </w:r>
          </w:p>
          <w:p w14:paraId="3ED7C8DB" w14:textId="77777777" w:rsidR="001F2246" w:rsidRPr="001408D5" w:rsidRDefault="001F2246" w:rsidP="001F2246">
            <w:pPr>
              <w:pStyle w:val="ListNoNum2"/>
              <w:ind w:left="692"/>
              <w:rPr>
                <w:i/>
                <w:iCs/>
              </w:rPr>
            </w:pPr>
            <w:r w:rsidRPr="001408D5">
              <w:rPr>
                <w:iCs/>
              </w:rPr>
              <w:t>b</w:t>
            </w:r>
            <w:proofErr w:type="gramStart"/>
            <w:r w:rsidRPr="001408D5">
              <w:rPr>
                <w:iCs/>
              </w:rPr>
              <w:t xml:space="preserve">. </w:t>
            </w:r>
            <w:r w:rsidRPr="001408D5">
              <w:rPr>
                <w:iCs/>
              </w:rPr>
              <w:tab/>
              <w:t>Except</w:t>
            </w:r>
            <w:proofErr w:type="gramEnd"/>
            <w:r w:rsidRPr="001408D5">
              <w:rPr>
                <w:iCs/>
              </w:rPr>
              <w:t xml:space="preserve"> as provided in 45 CFR §164.412, the PIHP must require a business associate to provide the notification without unreasonable delay and in no case later than 60 calendar days after </w:t>
            </w:r>
            <w:proofErr w:type="gramStart"/>
            <w:r w:rsidRPr="001408D5">
              <w:rPr>
                <w:iCs/>
              </w:rPr>
              <w:t>discovery</w:t>
            </w:r>
            <w:proofErr w:type="gramEnd"/>
            <w:r w:rsidRPr="001408D5">
              <w:rPr>
                <w:iCs/>
              </w:rPr>
              <w:t xml:space="preserve"> of a breach.</w:t>
            </w:r>
          </w:p>
          <w:p w14:paraId="77415FD5" w14:textId="77777777" w:rsidR="001F2246" w:rsidRPr="001408D5" w:rsidRDefault="001F2246" w:rsidP="001F2246">
            <w:pPr>
              <w:pStyle w:val="ListNoNum2"/>
              <w:ind w:left="692"/>
              <w:rPr>
                <w:i/>
                <w:iCs/>
              </w:rPr>
            </w:pPr>
            <w:r w:rsidRPr="001408D5">
              <w:rPr>
                <w:iCs/>
              </w:rPr>
              <w:t>c</w:t>
            </w:r>
            <w:proofErr w:type="gramStart"/>
            <w:r w:rsidRPr="001408D5">
              <w:rPr>
                <w:iCs/>
              </w:rPr>
              <w:t xml:space="preserve">. </w:t>
            </w:r>
            <w:r w:rsidRPr="001408D5">
              <w:rPr>
                <w:iCs/>
              </w:rPr>
              <w:tab/>
              <w:t>The</w:t>
            </w:r>
            <w:proofErr w:type="gramEnd"/>
            <w:r w:rsidRPr="001408D5">
              <w:rPr>
                <w:iCs/>
              </w:rPr>
              <w:t xml:space="preserve"> notification must include, to the extent possible, the identification of </w:t>
            </w:r>
            <w:proofErr w:type="gramStart"/>
            <w:r w:rsidRPr="001408D5">
              <w:rPr>
                <w:iCs/>
              </w:rPr>
              <w:t>each individual</w:t>
            </w:r>
            <w:proofErr w:type="gramEnd"/>
            <w:r w:rsidRPr="001408D5">
              <w:rPr>
                <w:iCs/>
              </w:rPr>
              <w:t xml:space="preserve"> whose unsecured protected health information has been or is reasonably believed by the </w:t>
            </w:r>
            <w:r w:rsidRPr="001408D5">
              <w:rPr>
                <w:iCs/>
              </w:rPr>
              <w:lastRenderedPageBreak/>
              <w:t>business associate to have been, accessed, acquired, used, or disclosed during the breach.</w:t>
            </w:r>
          </w:p>
          <w:p w14:paraId="22066C43" w14:textId="77777777" w:rsidR="001F2246" w:rsidRPr="001408D5" w:rsidRDefault="001F2246" w:rsidP="001F2246">
            <w:pPr>
              <w:pStyle w:val="ListNoNum2"/>
              <w:ind w:left="692"/>
              <w:rPr>
                <w:i/>
                <w:iCs/>
              </w:rPr>
            </w:pPr>
            <w:r w:rsidRPr="001408D5">
              <w:rPr>
                <w:iCs/>
              </w:rPr>
              <w:t>d</w:t>
            </w:r>
            <w:proofErr w:type="gramStart"/>
            <w:r w:rsidRPr="001408D5">
              <w:rPr>
                <w:iCs/>
              </w:rPr>
              <w:t xml:space="preserve">. </w:t>
            </w:r>
            <w:r w:rsidRPr="001408D5">
              <w:rPr>
                <w:iCs/>
              </w:rPr>
              <w:tab/>
              <w:t>The</w:t>
            </w:r>
            <w:proofErr w:type="gramEnd"/>
            <w:r w:rsidRPr="001408D5">
              <w:rPr>
                <w:iCs/>
              </w:rPr>
              <w:t xml:space="preserve"> PIHP must require a business associate to provide the PIHP with any other available information that the PIHP is required to include in notification to the individual under 45 CFR §164.404(c) at the time of the notification or promptly thereafter as information becomes available.</w:t>
            </w:r>
          </w:p>
          <w:p w14:paraId="6B73FFCF" w14:textId="77777777" w:rsidR="001F2246" w:rsidRPr="001408D5" w:rsidRDefault="001F2246" w:rsidP="001F2246">
            <w:pPr>
              <w:pStyle w:val="HSAGTableContracttext"/>
            </w:pPr>
          </w:p>
          <w:p w14:paraId="5C298E40" w14:textId="77777777" w:rsidR="001F2246" w:rsidRPr="001408D5" w:rsidRDefault="001F2246" w:rsidP="001F2246">
            <w:pPr>
              <w:pStyle w:val="HSAGTableContracttext"/>
            </w:pPr>
            <w:r w:rsidRPr="001408D5">
              <w:t>45 CFR §164.410</w:t>
            </w:r>
          </w:p>
          <w:p w14:paraId="41431660" w14:textId="77777777" w:rsidR="001F2246" w:rsidRPr="001408D5" w:rsidRDefault="001F2246" w:rsidP="001F2246">
            <w:pPr>
              <w:pStyle w:val="HSAGTableContracttext"/>
            </w:pPr>
            <w:r w:rsidRPr="001408D5">
              <w:t>45 CFR §164.404(c)</w:t>
            </w:r>
          </w:p>
          <w:p w14:paraId="78BC1CB6" w14:textId="45BE34A5" w:rsidR="001F2246" w:rsidRPr="00903F99" w:rsidRDefault="001F2246" w:rsidP="001F2246">
            <w:pPr>
              <w:pStyle w:val="HSAGTableContracttext"/>
              <w:keepNext/>
              <w:spacing w:before="0" w:after="0"/>
              <w:ind w:left="1440"/>
              <w:contextualSpacing/>
              <w:rPr>
                <w:i/>
                <w:szCs w:val="18"/>
              </w:rPr>
            </w:pPr>
            <w:r w:rsidRPr="001408D5">
              <w:t>45 CFR §164.412</w:t>
            </w:r>
          </w:p>
        </w:tc>
        <w:tc>
          <w:tcPr>
            <w:tcW w:w="5840" w:type="dxa"/>
            <w:gridSpan w:val="2"/>
            <w:shd w:val="clear" w:color="auto" w:fill="FFFFFF" w:themeFill="background1"/>
          </w:tcPr>
          <w:p w14:paraId="2CF67AA1" w14:textId="77777777" w:rsidR="001F2246" w:rsidRPr="001408D5" w:rsidRDefault="001F2246" w:rsidP="001F2246">
            <w:pPr>
              <w:pStyle w:val="HSAGTableText"/>
              <w:contextualSpacing/>
              <w:rPr>
                <w:b/>
                <w:bCs/>
              </w:rPr>
            </w:pPr>
            <w:r w:rsidRPr="001408D5">
              <w:rPr>
                <w:b/>
                <w:bCs/>
              </w:rPr>
              <w:lastRenderedPageBreak/>
              <w:t>HSAG Required Evidence:</w:t>
            </w:r>
          </w:p>
          <w:p w14:paraId="06CB406B" w14:textId="77777777" w:rsidR="001F2246" w:rsidRPr="001408D5" w:rsidRDefault="001F2246" w:rsidP="00595A8D">
            <w:pPr>
              <w:pStyle w:val="HSAGTableText"/>
              <w:numPr>
                <w:ilvl w:val="0"/>
                <w:numId w:val="19"/>
              </w:numPr>
              <w:contextualSpacing/>
            </w:pPr>
            <w:r w:rsidRPr="001408D5">
              <w:t>Policies and procedures</w:t>
            </w:r>
          </w:p>
          <w:p w14:paraId="3E72F8C0" w14:textId="77777777" w:rsidR="001F2246" w:rsidRPr="001408D5" w:rsidRDefault="001F2246" w:rsidP="00595A8D">
            <w:pPr>
              <w:pStyle w:val="HSAGTableText"/>
              <w:numPr>
                <w:ilvl w:val="0"/>
                <w:numId w:val="19"/>
              </w:numPr>
              <w:contextualSpacing/>
            </w:pPr>
            <w:r w:rsidRPr="001408D5">
              <w:t>List of breaches of unsecured PHI reported by subcontractors</w:t>
            </w:r>
          </w:p>
          <w:p w14:paraId="5BD35855" w14:textId="77777777" w:rsidR="001F2246" w:rsidRDefault="001F2246" w:rsidP="00595A8D">
            <w:pPr>
              <w:pStyle w:val="HSAGTableText"/>
              <w:numPr>
                <w:ilvl w:val="0"/>
                <w:numId w:val="19"/>
              </w:numPr>
              <w:contextualSpacing/>
            </w:pPr>
            <w:r w:rsidRPr="001408D5">
              <w:t xml:space="preserve">One example of </w:t>
            </w:r>
            <w:proofErr w:type="gramStart"/>
            <w:r w:rsidRPr="001408D5">
              <w:t>executed</w:t>
            </w:r>
            <w:proofErr w:type="gramEnd"/>
            <w:r w:rsidRPr="001408D5">
              <w:t xml:space="preserve"> business associate agreement</w:t>
            </w:r>
          </w:p>
          <w:p w14:paraId="63A66FFF" w14:textId="111488DE" w:rsidR="001F2246" w:rsidRPr="00903F99" w:rsidRDefault="001F2246" w:rsidP="00595A8D">
            <w:pPr>
              <w:pStyle w:val="HSAGTableText"/>
              <w:numPr>
                <w:ilvl w:val="0"/>
                <w:numId w:val="19"/>
              </w:numPr>
              <w:contextualSpacing/>
            </w:pPr>
            <w:r w:rsidRPr="001408D5">
              <w:t xml:space="preserve">One example of </w:t>
            </w:r>
            <w:proofErr w:type="gramStart"/>
            <w:r w:rsidRPr="001408D5">
              <w:t>executed</w:t>
            </w:r>
            <w:proofErr w:type="gramEnd"/>
            <w:r w:rsidRPr="001408D5">
              <w:t xml:space="preserve"> subcontractor contract</w:t>
            </w:r>
          </w:p>
        </w:tc>
        <w:tc>
          <w:tcPr>
            <w:tcW w:w="1426" w:type="dxa"/>
            <w:vMerge w:val="restart"/>
            <w:shd w:val="clear" w:color="auto" w:fill="FFFFFF" w:themeFill="background1"/>
          </w:tcPr>
          <w:p w14:paraId="6E9DA79A" w14:textId="77777777" w:rsidR="001F2246" w:rsidRPr="001408D5" w:rsidRDefault="00000000" w:rsidP="001F2246">
            <w:pPr>
              <w:spacing w:before="60" w:after="0"/>
              <w:contextualSpacing/>
              <w:rPr>
                <w:sz w:val="22"/>
              </w:rPr>
            </w:pPr>
            <w:sdt>
              <w:sdtPr>
                <w:rPr>
                  <w:sz w:val="22"/>
                </w:rPr>
                <w:id w:val="728964782"/>
                <w14:checkbox>
                  <w14:checked w14:val="0"/>
                  <w14:checkedState w14:val="2612" w14:font="MS Gothic"/>
                  <w14:uncheckedState w14:val="2610" w14:font="MS Gothic"/>
                </w14:checkbox>
              </w:sdtPr>
              <w:sdtContent>
                <w:r w:rsidR="001F2246" w:rsidRPr="001408D5">
                  <w:rPr>
                    <w:rFonts w:ascii="MS Gothic" w:eastAsia="MS Gothic" w:hAnsi="MS Gothic" w:hint="eastAsia"/>
                    <w:sz w:val="22"/>
                  </w:rPr>
                  <w:t>☐</w:t>
                </w:r>
              </w:sdtContent>
            </w:sdt>
            <w:r w:rsidR="001F2246" w:rsidRPr="001408D5">
              <w:rPr>
                <w:sz w:val="22"/>
              </w:rPr>
              <w:t xml:space="preserve"> Met</w:t>
            </w:r>
          </w:p>
          <w:p w14:paraId="3133C0A6" w14:textId="77777777" w:rsidR="001F2246" w:rsidRPr="001408D5" w:rsidRDefault="00000000" w:rsidP="001F2246">
            <w:pPr>
              <w:spacing w:before="60" w:after="0"/>
              <w:contextualSpacing/>
              <w:rPr>
                <w:sz w:val="22"/>
              </w:rPr>
            </w:pPr>
            <w:sdt>
              <w:sdtPr>
                <w:rPr>
                  <w:sz w:val="22"/>
                </w:rPr>
                <w:id w:val="1333336064"/>
                <w14:checkbox>
                  <w14:checked w14:val="1"/>
                  <w14:checkedState w14:val="2612" w14:font="MS Gothic"/>
                  <w14:uncheckedState w14:val="2610" w14:font="MS Gothic"/>
                </w14:checkbox>
              </w:sdtPr>
              <w:sdtContent>
                <w:r w:rsidR="001F2246" w:rsidRPr="001408D5">
                  <w:rPr>
                    <w:rFonts w:ascii="MS Gothic" w:eastAsia="MS Gothic" w:hAnsi="MS Gothic" w:hint="eastAsia"/>
                    <w:sz w:val="22"/>
                  </w:rPr>
                  <w:t>☒</w:t>
                </w:r>
              </w:sdtContent>
            </w:sdt>
            <w:r w:rsidR="001F2246" w:rsidRPr="001408D5">
              <w:rPr>
                <w:sz w:val="22"/>
              </w:rPr>
              <w:t xml:space="preserve"> Not Met</w:t>
            </w:r>
          </w:p>
          <w:p w14:paraId="03236979" w14:textId="297263F7" w:rsidR="001F2246" w:rsidRPr="00903F99" w:rsidRDefault="00000000" w:rsidP="001F2246">
            <w:pPr>
              <w:spacing w:before="0" w:after="0"/>
              <w:contextualSpacing/>
              <w:rPr>
                <w:sz w:val="22"/>
              </w:rPr>
            </w:pPr>
            <w:sdt>
              <w:sdtPr>
                <w:rPr>
                  <w:sz w:val="22"/>
                </w:rPr>
                <w:id w:val="-123934343"/>
                <w14:checkbox>
                  <w14:checked w14:val="0"/>
                  <w14:checkedState w14:val="2612" w14:font="MS Gothic"/>
                  <w14:uncheckedState w14:val="2610" w14:font="MS Gothic"/>
                </w14:checkbox>
              </w:sdtPr>
              <w:sdtContent>
                <w:r w:rsidR="001F2246" w:rsidRPr="001408D5">
                  <w:rPr>
                    <w:rFonts w:ascii="MS Gothic" w:eastAsia="MS Gothic" w:hAnsi="MS Gothic" w:hint="eastAsia"/>
                    <w:sz w:val="22"/>
                  </w:rPr>
                  <w:t>☐</w:t>
                </w:r>
              </w:sdtContent>
            </w:sdt>
            <w:r w:rsidR="001F2246" w:rsidRPr="001408D5">
              <w:rPr>
                <w:sz w:val="22"/>
              </w:rPr>
              <w:t xml:space="preserve"> NA</w:t>
            </w:r>
          </w:p>
        </w:tc>
      </w:tr>
      <w:tr w:rsidR="001F2246" w:rsidRPr="00903F99" w14:paraId="2EE1CD18" w14:textId="77777777" w:rsidTr="00B96827">
        <w:trPr>
          <w:trHeight w:val="374"/>
          <w:jc w:val="center"/>
        </w:trPr>
        <w:tc>
          <w:tcPr>
            <w:tcW w:w="6745" w:type="dxa"/>
            <w:gridSpan w:val="2"/>
            <w:vMerge/>
          </w:tcPr>
          <w:p w14:paraId="7D15D0EA" w14:textId="77777777" w:rsidR="001F2246" w:rsidRPr="00903F99" w:rsidRDefault="001F2246" w:rsidP="00595A8D">
            <w:pPr>
              <w:pStyle w:val="HSAGNumbers"/>
              <w:numPr>
                <w:ilvl w:val="0"/>
                <w:numId w:val="16"/>
              </w:numPr>
              <w:spacing w:before="0" w:after="0"/>
              <w:contextualSpacing/>
            </w:pPr>
          </w:p>
        </w:tc>
        <w:tc>
          <w:tcPr>
            <w:tcW w:w="5840" w:type="dxa"/>
            <w:gridSpan w:val="2"/>
            <w:shd w:val="clear" w:color="auto" w:fill="FFFFFF" w:themeFill="background1"/>
          </w:tcPr>
          <w:p w14:paraId="2471D565" w14:textId="77777777" w:rsidR="001F2246" w:rsidRPr="001408D5" w:rsidRDefault="001F2246" w:rsidP="001F2246">
            <w:pPr>
              <w:pStyle w:val="HSAGTableText"/>
              <w:keepNext/>
              <w:contextualSpacing/>
              <w:rPr>
                <w:b/>
                <w:bCs/>
              </w:rPr>
            </w:pPr>
            <w:r w:rsidRPr="001408D5">
              <w:rPr>
                <w:b/>
                <w:bCs/>
              </w:rPr>
              <w:t>Evidence as Submitted by the PIHP:</w:t>
            </w:r>
          </w:p>
          <w:p w14:paraId="3E14554A" w14:textId="77777777" w:rsidR="001F2246" w:rsidRPr="001408D5" w:rsidRDefault="001F2246" w:rsidP="00595A8D">
            <w:pPr>
              <w:pStyle w:val="HSAGTableText"/>
              <w:keepNext/>
              <w:numPr>
                <w:ilvl w:val="0"/>
                <w:numId w:val="22"/>
              </w:numPr>
              <w:contextualSpacing/>
            </w:pPr>
            <w:r w:rsidRPr="001408D5">
              <w:t>BAA Boilerplate: Page 2, 4.c and d</w:t>
            </w:r>
          </w:p>
          <w:p w14:paraId="2D18CA4E" w14:textId="77777777" w:rsidR="001F2246" w:rsidRPr="001408D5" w:rsidRDefault="001F2246" w:rsidP="00595A8D">
            <w:pPr>
              <w:pStyle w:val="HSAGTableText"/>
              <w:keepNext/>
              <w:numPr>
                <w:ilvl w:val="0"/>
                <w:numId w:val="22"/>
              </w:numPr>
              <w:contextualSpacing/>
            </w:pPr>
            <w:r w:rsidRPr="001408D5">
              <w:t>Gogolin_NMRE_BAA_DRAFT_2_13_24</w:t>
            </w:r>
          </w:p>
          <w:p w14:paraId="48FCA434" w14:textId="77777777" w:rsidR="001F2246" w:rsidRPr="00903F99" w:rsidRDefault="001F2246" w:rsidP="001F2246">
            <w:pPr>
              <w:pStyle w:val="HSAGTableBullet1"/>
              <w:numPr>
                <w:ilvl w:val="0"/>
                <w:numId w:val="0"/>
              </w:numPr>
              <w:ind w:left="247" w:hanging="247"/>
            </w:pPr>
          </w:p>
        </w:tc>
        <w:tc>
          <w:tcPr>
            <w:tcW w:w="1426" w:type="dxa"/>
            <w:vMerge/>
            <w:shd w:val="clear" w:color="auto" w:fill="FFFFFF" w:themeFill="background1"/>
          </w:tcPr>
          <w:p w14:paraId="1F3427A6" w14:textId="77777777" w:rsidR="001F2246" w:rsidRPr="00903F99" w:rsidRDefault="001F2246" w:rsidP="001F2246">
            <w:pPr>
              <w:spacing w:before="0" w:after="0"/>
              <w:contextualSpacing/>
              <w:rPr>
                <w:sz w:val="22"/>
              </w:rPr>
            </w:pPr>
          </w:p>
        </w:tc>
      </w:tr>
      <w:tr w:rsidR="001F2246" w:rsidRPr="00903F99" w14:paraId="54AE0105" w14:textId="77777777" w:rsidTr="004E3199">
        <w:trPr>
          <w:trHeight w:val="374"/>
          <w:jc w:val="center"/>
        </w:trPr>
        <w:tc>
          <w:tcPr>
            <w:tcW w:w="14011" w:type="dxa"/>
            <w:gridSpan w:val="5"/>
            <w:vAlign w:val="center"/>
          </w:tcPr>
          <w:p w14:paraId="2785D7A1" w14:textId="2B15E4AF" w:rsidR="001F2246" w:rsidRPr="00903F99" w:rsidRDefault="001F2246" w:rsidP="001F2246">
            <w:pPr>
              <w:pStyle w:val="HSAGTableText"/>
              <w:spacing w:before="0" w:after="0"/>
            </w:pPr>
            <w:r w:rsidRPr="001408D5">
              <w:rPr>
                <w:b/>
              </w:rPr>
              <w:t>PIHP Description of Process:</w:t>
            </w:r>
            <w:r w:rsidRPr="001408D5">
              <w:t xml:space="preserve"> The NMRE’s BAA template, and executed copies of templates, require Business Associates to report to the NMRE’s designated Privacy Office of Covered Entity any use or disclosure of protected health information not provided for by the Agreement of which they become aware of, including breaches of unsecured PHI as required at 45 CFR § 164, and any security incident of which they becomes aware and involving the NMRE’s PHI they use and disclose within ten (10) days from the date they become aware (or would have become aware). Business Associates report this to the NMRE designated Privacy Office; any use or disclosure of protected health information not provided for by the Agreement of which it becomes aware, including breaches of unsecured PHI as required at 45 CFR § 164 and any security incident of which they becomes aware and involving Covered Entity PHI used and disclosed by a Business Associate within ten (10) days from the date they becomes aware (or would have become aware)</w:t>
            </w:r>
          </w:p>
        </w:tc>
      </w:tr>
      <w:tr w:rsidR="001F2246" w:rsidRPr="0026679F" w14:paraId="29643775" w14:textId="77777777" w:rsidTr="004E3199">
        <w:trPr>
          <w:trHeight w:val="374"/>
          <w:jc w:val="center"/>
        </w:trPr>
        <w:tc>
          <w:tcPr>
            <w:tcW w:w="14011" w:type="dxa"/>
            <w:gridSpan w:val="5"/>
            <w:tcBorders>
              <w:bottom w:val="single" w:sz="4" w:space="0" w:color="000000"/>
            </w:tcBorders>
            <w:vAlign w:val="center"/>
          </w:tcPr>
          <w:p w14:paraId="01F2D8F5" w14:textId="77777777" w:rsidR="001F2246" w:rsidRPr="001408D5" w:rsidRDefault="001F2246" w:rsidP="001F2246">
            <w:pPr>
              <w:pStyle w:val="HSAGTableText"/>
            </w:pPr>
            <w:r w:rsidRPr="001408D5">
              <w:rPr>
                <w:b/>
              </w:rPr>
              <w:t>HSAG Findings:</w:t>
            </w:r>
            <w:r w:rsidRPr="001408D5">
              <w:t xml:space="preserve"> Although the PIHP’s </w:t>
            </w:r>
            <w:r w:rsidRPr="001408D5">
              <w:rPr>
                <w:i/>
                <w:iCs/>
              </w:rPr>
              <w:t>Breach Notification</w:t>
            </w:r>
            <w:r w:rsidRPr="001408D5">
              <w:t xml:space="preserve"> policy included many of the requirements under federal rule and PIHP staff members indicated that the delegated entities were responsible for providing notification to the PIHP of breaches of unsecured PHI, the PIHP did not initially provide evidence supporting the requirements under this element. The PIHP initially submitted </w:t>
            </w:r>
            <w:r w:rsidRPr="001408D5">
              <w:rPr>
                <w:i/>
                <w:iCs/>
              </w:rPr>
              <w:t>BAA Boilerplate</w:t>
            </w:r>
            <w:r w:rsidRPr="001408D5">
              <w:t xml:space="preserve"> and </w:t>
            </w:r>
            <w:proofErr w:type="spellStart"/>
            <w:r w:rsidRPr="001408D5">
              <w:rPr>
                <w:i/>
                <w:iCs/>
              </w:rPr>
              <w:t>Gogolin_NMRE_BAA_DRAFT</w:t>
            </w:r>
            <w:proofErr w:type="spellEnd"/>
            <w:r w:rsidRPr="001408D5">
              <w:t xml:space="preserve">, which outlined its expectations to receive notice of unauthorized disclosures and breaches from its subcontractors; however, no evidence was provided demonstrating the PIHP received notification of the unauthorized disclosures provided as evidence from the CMHSPs. HSAG requested that the PIHP provide evidence of any documentation received from its CMHSPs (e.g., email notification) for the unauthorized disclosures that occurred during the review period in follow-up. </w:t>
            </w:r>
            <w:r w:rsidRPr="001408D5">
              <w:rPr>
                <w:iCs/>
              </w:rPr>
              <w:t>Following the site review</w:t>
            </w:r>
            <w:r w:rsidRPr="001408D5">
              <w:t xml:space="preserve">, the PIHP responded that there is “no evidence for this element” and that “NMRE will work with CMHSPs for training and technical assistance to meet requirements.” </w:t>
            </w:r>
          </w:p>
          <w:p w14:paraId="326A0C3C" w14:textId="5C79D823" w:rsidR="001F2246" w:rsidRPr="0026679F" w:rsidRDefault="001F2246" w:rsidP="001F2246">
            <w:pPr>
              <w:pStyle w:val="HSAGTableText"/>
              <w:spacing w:before="0"/>
            </w:pPr>
            <w:r w:rsidRPr="001408D5">
              <w:rPr>
                <w:b/>
                <w:bCs/>
              </w:rPr>
              <w:t>Recommendations:</w:t>
            </w:r>
            <w:r w:rsidRPr="001408D5">
              <w:t xml:space="preserve"> Although the PIHP provided its </w:t>
            </w:r>
            <w:r w:rsidRPr="001408D5">
              <w:rPr>
                <w:i/>
                <w:iCs/>
              </w:rPr>
              <w:t>Breach Tracking</w:t>
            </w:r>
            <w:r w:rsidRPr="001408D5">
              <w:t xml:space="preserve"> document, HSAG strongly recommends that the PIHP develop a formal process to receive and track its delegates’ unauthorized disclosures of PHI and breaches to ensure its delegates are providing notification to affected individuals, and the media as applicable, and notifying the PIHP as well as the Secretary as required. If the PIHP does not demonstrate adequate implementation of HSAG’s recommendations during future compliance reviews, the PIHP may receive a </w:t>
            </w:r>
            <w:r w:rsidRPr="001408D5">
              <w:rPr>
                <w:i/>
                <w:iCs/>
              </w:rPr>
              <w:t>Not Met</w:t>
            </w:r>
            <w:r w:rsidRPr="001408D5">
              <w:t xml:space="preserve"> score.</w:t>
            </w:r>
          </w:p>
        </w:tc>
      </w:tr>
      <w:tr w:rsidR="001F2246" w:rsidRPr="0026679F" w14:paraId="7D448746" w14:textId="77777777" w:rsidTr="004E3199">
        <w:trPr>
          <w:trHeight w:val="374"/>
          <w:jc w:val="center"/>
        </w:trPr>
        <w:tc>
          <w:tcPr>
            <w:tcW w:w="14011" w:type="dxa"/>
            <w:gridSpan w:val="5"/>
            <w:tcBorders>
              <w:top w:val="single" w:sz="4" w:space="0" w:color="000000"/>
              <w:bottom w:val="single" w:sz="4" w:space="0" w:color="auto"/>
            </w:tcBorders>
            <w:vAlign w:val="center"/>
          </w:tcPr>
          <w:p w14:paraId="04B05F4C" w14:textId="4965AC34" w:rsidR="001F2246" w:rsidRPr="0026679F" w:rsidRDefault="001F2246" w:rsidP="001F2246">
            <w:pPr>
              <w:pStyle w:val="HSAGTableText"/>
              <w:rPr>
                <w:b/>
              </w:rPr>
            </w:pPr>
            <w:r w:rsidRPr="001408D5">
              <w:rPr>
                <w:b/>
              </w:rPr>
              <w:lastRenderedPageBreak/>
              <w:t>Required Actions:</w:t>
            </w:r>
            <w:r w:rsidRPr="001408D5">
              <w:t xml:space="preserve"> The PIHP must require its business associates (i.e., subcontractors), following the discovery of a breach of unsecured PHI, to notify the PIHP of such </w:t>
            </w:r>
            <w:r>
              <w:t xml:space="preserve">a </w:t>
            </w:r>
            <w:r w:rsidRPr="001408D5">
              <w:t>breach. A breach shall be treated as discovered by a business associate as of the first day on which such</w:t>
            </w:r>
            <w:r>
              <w:t xml:space="preserve"> a</w:t>
            </w:r>
            <w:r w:rsidRPr="001408D5">
              <w:t xml:space="preserve"> breach is known to the business associate, or by exercising reasonable diligence would have been known to the business associate. A business associate shall be deemed to have knowledge of a breach if the breach is known, or by exercising reasonable diligence would have been known, to any person other than the person committing the breach who is an employee, officer, or other agent of the business associate. </w:t>
            </w:r>
            <w:r w:rsidRPr="0029302E">
              <w:rPr>
                <w:highlight w:val="yellow"/>
              </w:rPr>
              <w:t>Except as provided in 45 CFR §164.412, the PIHP must require a business associate to provide the notification without unreasonable delay and in no case later than 60 calendar days after discovery of a breach</w:t>
            </w:r>
            <w:r w:rsidRPr="001408D5">
              <w:t xml:space="preserve">. The notification must include, to the extent possible, the identification of </w:t>
            </w:r>
            <w:proofErr w:type="gramStart"/>
            <w:r w:rsidRPr="001408D5">
              <w:t>each individual</w:t>
            </w:r>
            <w:proofErr w:type="gramEnd"/>
            <w:r w:rsidRPr="001408D5">
              <w:t xml:space="preserve"> whose unsecured PHI has </w:t>
            </w:r>
            <w:proofErr w:type="gramStart"/>
            <w:r w:rsidRPr="001408D5">
              <w:t>been, or</w:t>
            </w:r>
            <w:proofErr w:type="gramEnd"/>
            <w:r w:rsidRPr="001408D5">
              <w:t xml:space="preserve"> is reasonably believed by the business associate to have been, accessed, acquired, used, or disclosed during the breach. </w:t>
            </w:r>
            <w:r w:rsidRPr="0029302E">
              <w:rPr>
                <w:highlight w:val="yellow"/>
              </w:rPr>
              <w:t>The PIHP must require a business associate to provide the PIHP with any other available information that the PIHP is required to include in notification to the individual under 45 CFR §164.404(c) at the time of the notification or promptly thereafter as information becomes available.</w:t>
            </w:r>
          </w:p>
        </w:tc>
      </w:tr>
      <w:tr w:rsidR="001F2246" w:rsidRPr="00D16F05" w14:paraId="1BD3F3AB" w14:textId="77777777" w:rsidTr="004E3199">
        <w:tblPrEx>
          <w:tblCellMar>
            <w:left w:w="108" w:type="dxa"/>
            <w:right w:w="108" w:type="dxa"/>
          </w:tblCellMar>
        </w:tblPrEx>
        <w:trPr>
          <w:gridBefore w:val="1"/>
          <w:wBefore w:w="7" w:type="dxa"/>
          <w:trHeight w:val="374"/>
          <w:jc w:val="center"/>
        </w:trPr>
        <w:tc>
          <w:tcPr>
            <w:tcW w:w="14004" w:type="dxa"/>
            <w:gridSpan w:val="4"/>
            <w:tcBorders>
              <w:top w:val="single" w:sz="4" w:space="0" w:color="auto"/>
              <w:bottom w:val="single" w:sz="4" w:space="0" w:color="000000" w:themeColor="text1"/>
            </w:tcBorders>
            <w:shd w:val="clear" w:color="auto" w:fill="F79548" w:themeFill="accent4"/>
          </w:tcPr>
          <w:p w14:paraId="49069020" w14:textId="77777777" w:rsidR="001F2246" w:rsidRPr="00D16F05" w:rsidRDefault="001F2246" w:rsidP="001F2246">
            <w:pPr>
              <w:pStyle w:val="HSAGTableText"/>
              <w:keepNext/>
              <w:contextualSpacing/>
              <w:rPr>
                <w:b/>
              </w:rPr>
            </w:pPr>
            <w:r>
              <w:rPr>
                <w:b/>
              </w:rPr>
              <w:t>PIHP Corrective Action Plan</w:t>
            </w:r>
          </w:p>
        </w:tc>
      </w:tr>
      <w:tr w:rsidR="001F2246" w:rsidRPr="00984D92" w14:paraId="4BA834EE" w14:textId="77777777" w:rsidTr="004E3199">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2D37AB02" w14:textId="72C6FB6A" w:rsidR="001F2246" w:rsidRPr="00984D92" w:rsidRDefault="001F2246" w:rsidP="001F2246">
            <w:pPr>
              <w:pStyle w:val="HSAGTableText"/>
              <w:contextualSpacing/>
              <w:rPr>
                <w:bCs/>
              </w:rPr>
            </w:pPr>
            <w:r>
              <w:rPr>
                <w:b/>
              </w:rPr>
              <w:t>Root Cause Analysis:</w:t>
            </w:r>
            <w:r w:rsidRPr="003F5489">
              <w:rPr>
                <w:bCs/>
              </w:rPr>
              <w:t xml:space="preserve"> </w:t>
            </w:r>
            <w:r w:rsidR="00D03F23">
              <w:rPr>
                <w:rStyle w:val="normaltextrun"/>
                <w:color w:val="000000"/>
                <w:szCs w:val="22"/>
                <w:shd w:val="clear" w:color="auto" w:fill="FFFFFF"/>
              </w:rPr>
              <w:t>NMRE’s Business Associate Agreement (BAA) template already includes the federal requirement that business associates notify NMRE of any breach of unsecured PHI. However, NMRE did not maintain a standardized internal process to verify that business associates consistently reported breaches within required timeframes or that such notifications were documented. While NMRE had no known incidents during the review period, the absence of a formal tracking and verification procedure limited NMRE’s ability to demonstrate compliance with 45 CFR §164.410.</w:t>
            </w:r>
          </w:p>
        </w:tc>
      </w:tr>
      <w:tr w:rsidR="00DB36FF" w:rsidRPr="00FC2C0F" w14:paraId="136E64FF" w14:textId="77777777" w:rsidTr="004E3199">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544C2E88" w14:textId="2F7091F5" w:rsidR="00D03F23" w:rsidRPr="00B96827" w:rsidRDefault="00DB36FF" w:rsidP="00DB36FF">
            <w:pPr>
              <w:pStyle w:val="HSAGTableText"/>
              <w:contextualSpacing/>
              <w:rPr>
                <w:szCs w:val="22"/>
              </w:rPr>
            </w:pPr>
            <w:r w:rsidRPr="00B96827">
              <w:rPr>
                <w:b/>
                <w:szCs w:val="22"/>
              </w:rPr>
              <w:t>PIHP Remediation Plan:</w:t>
            </w:r>
            <w:r w:rsidRPr="00B96827">
              <w:rPr>
                <w:bCs/>
                <w:szCs w:val="22"/>
              </w:rPr>
              <w:t xml:space="preserve"> </w:t>
            </w:r>
            <w:r w:rsidRPr="0029302E">
              <w:rPr>
                <w:bCs/>
                <w:szCs w:val="22"/>
                <w:highlight w:val="yellow"/>
              </w:rPr>
              <w:t xml:space="preserve">The NMRE will review its BAA templates to ensure the provisions of this standard are included in these contracts, including such references as </w:t>
            </w:r>
            <w:r w:rsidRPr="0029302E">
              <w:rPr>
                <w:szCs w:val="22"/>
                <w:highlight w:val="yellow"/>
              </w:rPr>
              <w:t>45 CFR §164.412 and 45 CFR §164.404(c)</w:t>
            </w:r>
          </w:p>
          <w:p w14:paraId="0E634E05" w14:textId="77777777" w:rsidR="00D03F23" w:rsidRPr="00B96827" w:rsidRDefault="00D03F23" w:rsidP="00D03F23">
            <w:pPr>
              <w:pStyle w:val="HSAGTableText"/>
              <w:contextualSpacing/>
              <w:rPr>
                <w:bCs/>
                <w:szCs w:val="22"/>
              </w:rPr>
            </w:pPr>
            <w:r w:rsidRPr="00B96827">
              <w:rPr>
                <w:bCs/>
                <w:szCs w:val="22"/>
              </w:rPr>
              <w:t xml:space="preserve">NMRE will strengthen its oversight process for business associates to ensure all breaches of unsecured PHI are reported and documented within required timeframes. This enhancement will align with the broader corrective action under </w:t>
            </w:r>
            <w:r w:rsidRPr="00B96827">
              <w:rPr>
                <w:b/>
                <w:bCs/>
                <w:szCs w:val="22"/>
              </w:rPr>
              <w:t>Standard VIII, Item #11 (Delegate Oversight and Reporting)</w:t>
            </w:r>
            <w:r w:rsidRPr="00B96827">
              <w:rPr>
                <w:bCs/>
                <w:szCs w:val="22"/>
              </w:rPr>
              <w:t xml:space="preserve"> but will be expanded to explicitly include </w:t>
            </w:r>
            <w:r w:rsidRPr="00B96827">
              <w:rPr>
                <w:b/>
                <w:bCs/>
                <w:szCs w:val="22"/>
              </w:rPr>
              <w:t>Business Associates and subcontractors</w:t>
            </w:r>
            <w:r w:rsidRPr="00B96827">
              <w:rPr>
                <w:bCs/>
                <w:szCs w:val="22"/>
              </w:rPr>
              <w:t xml:space="preserve"> in addition to CMHSP delegates. </w:t>
            </w:r>
          </w:p>
          <w:p w14:paraId="12B4D5CF" w14:textId="77777777" w:rsidR="00D03F23" w:rsidRPr="00B96827" w:rsidRDefault="00D03F23" w:rsidP="00D03F23">
            <w:pPr>
              <w:pStyle w:val="HSAGTableText"/>
              <w:contextualSpacing/>
              <w:rPr>
                <w:bCs/>
                <w:szCs w:val="22"/>
              </w:rPr>
            </w:pPr>
            <w:r w:rsidRPr="00B96827">
              <w:rPr>
                <w:bCs/>
                <w:szCs w:val="22"/>
              </w:rPr>
              <w:t>Specifically, NMRE will: </w:t>
            </w:r>
          </w:p>
          <w:p w14:paraId="3E7B1E52" w14:textId="77777777" w:rsidR="00D03F23" w:rsidRPr="00B96827" w:rsidRDefault="00D03F23" w:rsidP="00595A8D">
            <w:pPr>
              <w:pStyle w:val="HSAGTableText"/>
              <w:numPr>
                <w:ilvl w:val="0"/>
                <w:numId w:val="66"/>
              </w:numPr>
              <w:contextualSpacing/>
              <w:rPr>
                <w:bCs/>
                <w:szCs w:val="22"/>
              </w:rPr>
            </w:pPr>
            <w:proofErr w:type="gramStart"/>
            <w:r w:rsidRPr="00B96827">
              <w:rPr>
                <w:b/>
                <w:bCs/>
                <w:szCs w:val="22"/>
              </w:rPr>
              <w:t>Revise</w:t>
            </w:r>
            <w:proofErr w:type="gramEnd"/>
            <w:r w:rsidRPr="00B96827">
              <w:rPr>
                <w:b/>
                <w:bCs/>
                <w:szCs w:val="22"/>
              </w:rPr>
              <w:t xml:space="preserve"> Breach Notification Policy:</w:t>
            </w:r>
            <w:r w:rsidRPr="00B96827">
              <w:rPr>
                <w:bCs/>
                <w:szCs w:val="22"/>
              </w:rPr>
              <w:t> </w:t>
            </w:r>
          </w:p>
          <w:p w14:paraId="14470B81" w14:textId="77777777" w:rsidR="00D03F23" w:rsidRPr="00B96827" w:rsidRDefault="00D03F23" w:rsidP="00595A8D">
            <w:pPr>
              <w:pStyle w:val="HSAGTableText"/>
              <w:numPr>
                <w:ilvl w:val="0"/>
                <w:numId w:val="67"/>
              </w:numPr>
              <w:contextualSpacing/>
              <w:rPr>
                <w:bCs/>
                <w:szCs w:val="22"/>
              </w:rPr>
            </w:pPr>
            <w:r w:rsidRPr="00B96827">
              <w:rPr>
                <w:bCs/>
                <w:szCs w:val="22"/>
              </w:rPr>
              <w:t xml:space="preserve">Expand the new </w:t>
            </w:r>
            <w:r w:rsidRPr="00B96827">
              <w:rPr>
                <w:b/>
                <w:bCs/>
                <w:szCs w:val="22"/>
              </w:rPr>
              <w:t>Section N: Delegate Oversight and Reporting</w:t>
            </w:r>
            <w:r w:rsidRPr="00B96827">
              <w:rPr>
                <w:bCs/>
                <w:szCs w:val="22"/>
              </w:rPr>
              <w:t xml:space="preserve"> to explicitly include “Business Associates” alongside CMHSP delegates. </w:t>
            </w:r>
          </w:p>
          <w:p w14:paraId="049113EE" w14:textId="77777777" w:rsidR="00D03F23" w:rsidRPr="00B96827" w:rsidRDefault="00D03F23" w:rsidP="00595A8D">
            <w:pPr>
              <w:pStyle w:val="HSAGTableText"/>
              <w:numPr>
                <w:ilvl w:val="0"/>
                <w:numId w:val="68"/>
              </w:numPr>
              <w:contextualSpacing/>
              <w:rPr>
                <w:bCs/>
                <w:szCs w:val="22"/>
              </w:rPr>
            </w:pPr>
            <w:r w:rsidRPr="00B96827">
              <w:rPr>
                <w:bCs/>
                <w:szCs w:val="22"/>
              </w:rPr>
              <w:t xml:space="preserve">Clarify that business associates must notify NMRE’s Privacy Office within </w:t>
            </w:r>
            <w:r w:rsidRPr="00B96827">
              <w:rPr>
                <w:b/>
                <w:bCs/>
                <w:szCs w:val="22"/>
              </w:rPr>
              <w:t>10 days of discovery</w:t>
            </w:r>
            <w:r w:rsidRPr="00B96827">
              <w:rPr>
                <w:bCs/>
                <w:szCs w:val="22"/>
              </w:rPr>
              <w:t xml:space="preserve"> of any suspected or confirmed breach of unsecured PHI, consistent with NMRE’s BAA requirements. </w:t>
            </w:r>
          </w:p>
          <w:p w14:paraId="4CB6508D" w14:textId="77777777" w:rsidR="00D03F23" w:rsidRPr="00B96827" w:rsidRDefault="00D03F23" w:rsidP="00595A8D">
            <w:pPr>
              <w:pStyle w:val="HSAGTableText"/>
              <w:numPr>
                <w:ilvl w:val="0"/>
                <w:numId w:val="69"/>
              </w:numPr>
              <w:contextualSpacing/>
              <w:rPr>
                <w:bCs/>
                <w:szCs w:val="22"/>
              </w:rPr>
            </w:pPr>
            <w:r w:rsidRPr="00B96827">
              <w:rPr>
                <w:bCs/>
                <w:szCs w:val="22"/>
              </w:rPr>
              <w:t>Require that such notifications include, at a minimum: </w:t>
            </w:r>
          </w:p>
          <w:p w14:paraId="093D08D1" w14:textId="77777777" w:rsidR="00D03F23" w:rsidRPr="00B96827" w:rsidRDefault="00D03F23" w:rsidP="00595A8D">
            <w:pPr>
              <w:pStyle w:val="HSAGTableText"/>
              <w:numPr>
                <w:ilvl w:val="0"/>
                <w:numId w:val="70"/>
              </w:numPr>
              <w:contextualSpacing/>
              <w:rPr>
                <w:bCs/>
                <w:szCs w:val="22"/>
              </w:rPr>
            </w:pPr>
            <w:r w:rsidRPr="00B96827">
              <w:rPr>
                <w:bCs/>
                <w:szCs w:val="22"/>
              </w:rPr>
              <w:t>Identification of each affected individual (to the extent possible</w:t>
            </w:r>
            <w:proofErr w:type="gramStart"/>
            <w:r w:rsidRPr="00B96827">
              <w:rPr>
                <w:bCs/>
                <w:szCs w:val="22"/>
              </w:rPr>
              <w:t>);</w:t>
            </w:r>
            <w:proofErr w:type="gramEnd"/>
            <w:r w:rsidRPr="00B96827">
              <w:rPr>
                <w:bCs/>
                <w:szCs w:val="22"/>
              </w:rPr>
              <w:t> </w:t>
            </w:r>
          </w:p>
          <w:p w14:paraId="0587FA5E" w14:textId="77777777" w:rsidR="00D03F23" w:rsidRPr="00B96827" w:rsidRDefault="00D03F23" w:rsidP="00595A8D">
            <w:pPr>
              <w:pStyle w:val="HSAGTableText"/>
              <w:numPr>
                <w:ilvl w:val="0"/>
                <w:numId w:val="71"/>
              </w:numPr>
              <w:contextualSpacing/>
              <w:rPr>
                <w:bCs/>
                <w:szCs w:val="22"/>
              </w:rPr>
            </w:pPr>
            <w:r w:rsidRPr="00B96827">
              <w:rPr>
                <w:bCs/>
                <w:szCs w:val="22"/>
              </w:rPr>
              <w:t xml:space="preserve">Description of the type of PHI </w:t>
            </w:r>
            <w:proofErr w:type="gramStart"/>
            <w:r w:rsidRPr="00B96827">
              <w:rPr>
                <w:bCs/>
                <w:szCs w:val="22"/>
              </w:rPr>
              <w:t>involved;</w:t>
            </w:r>
            <w:proofErr w:type="gramEnd"/>
            <w:r w:rsidRPr="00B96827">
              <w:rPr>
                <w:bCs/>
                <w:szCs w:val="22"/>
              </w:rPr>
              <w:t> </w:t>
            </w:r>
          </w:p>
          <w:p w14:paraId="4C9CA3B7" w14:textId="77777777" w:rsidR="00D03F23" w:rsidRPr="00B96827" w:rsidRDefault="00D03F23" w:rsidP="00595A8D">
            <w:pPr>
              <w:pStyle w:val="HSAGTableText"/>
              <w:numPr>
                <w:ilvl w:val="0"/>
                <w:numId w:val="72"/>
              </w:numPr>
              <w:contextualSpacing/>
              <w:rPr>
                <w:bCs/>
                <w:szCs w:val="22"/>
              </w:rPr>
            </w:pPr>
            <w:r w:rsidRPr="00B96827">
              <w:rPr>
                <w:bCs/>
                <w:szCs w:val="22"/>
              </w:rPr>
              <w:t>Date of breach and date of discovery; and </w:t>
            </w:r>
          </w:p>
          <w:p w14:paraId="30418CD5" w14:textId="77777777" w:rsidR="00D03F23" w:rsidRPr="00B96827" w:rsidRDefault="00D03F23" w:rsidP="00595A8D">
            <w:pPr>
              <w:pStyle w:val="HSAGTableText"/>
              <w:numPr>
                <w:ilvl w:val="0"/>
                <w:numId w:val="73"/>
              </w:numPr>
              <w:contextualSpacing/>
              <w:rPr>
                <w:bCs/>
                <w:szCs w:val="22"/>
              </w:rPr>
            </w:pPr>
            <w:r w:rsidRPr="00B96827">
              <w:rPr>
                <w:bCs/>
                <w:szCs w:val="22"/>
              </w:rPr>
              <w:t>Any additional information required under 45 CFR §164.404(c). </w:t>
            </w:r>
          </w:p>
          <w:p w14:paraId="5DC489B0" w14:textId="77777777" w:rsidR="00D03F23" w:rsidRPr="00B96827" w:rsidRDefault="00D03F23" w:rsidP="00595A8D">
            <w:pPr>
              <w:pStyle w:val="HSAGTableText"/>
              <w:numPr>
                <w:ilvl w:val="0"/>
                <w:numId w:val="74"/>
              </w:numPr>
              <w:contextualSpacing/>
              <w:rPr>
                <w:bCs/>
                <w:szCs w:val="22"/>
              </w:rPr>
            </w:pPr>
            <w:r w:rsidRPr="00B96827">
              <w:rPr>
                <w:b/>
                <w:bCs/>
                <w:szCs w:val="22"/>
              </w:rPr>
              <w:lastRenderedPageBreak/>
              <w:t>Develop a Centralized Tracking Process for Business Associate Reports:</w:t>
            </w:r>
            <w:r w:rsidRPr="00B96827">
              <w:rPr>
                <w:bCs/>
                <w:szCs w:val="22"/>
              </w:rPr>
              <w:t> </w:t>
            </w:r>
          </w:p>
          <w:p w14:paraId="57E31B9F" w14:textId="77777777" w:rsidR="00D03F23" w:rsidRPr="00B96827" w:rsidRDefault="00D03F23" w:rsidP="00595A8D">
            <w:pPr>
              <w:pStyle w:val="HSAGTableText"/>
              <w:numPr>
                <w:ilvl w:val="0"/>
                <w:numId w:val="75"/>
              </w:numPr>
              <w:contextualSpacing/>
              <w:rPr>
                <w:bCs/>
                <w:szCs w:val="22"/>
              </w:rPr>
            </w:pPr>
            <w:r w:rsidRPr="00B96827">
              <w:rPr>
                <w:bCs/>
                <w:szCs w:val="22"/>
              </w:rPr>
              <w:t xml:space="preserve">Incorporate a new category into NMRE’s existing </w:t>
            </w:r>
            <w:r w:rsidRPr="00B96827">
              <w:rPr>
                <w:bCs/>
                <w:i/>
                <w:iCs/>
                <w:szCs w:val="22"/>
              </w:rPr>
              <w:t>Breach Tracking Log</w:t>
            </w:r>
            <w:r w:rsidRPr="00B96827">
              <w:rPr>
                <w:bCs/>
                <w:szCs w:val="22"/>
              </w:rPr>
              <w:t xml:space="preserve"> to document reports from business associates. </w:t>
            </w:r>
          </w:p>
          <w:p w14:paraId="3EA7982D" w14:textId="77777777" w:rsidR="00D03F23" w:rsidRPr="00B96827" w:rsidRDefault="00D03F23" w:rsidP="00595A8D">
            <w:pPr>
              <w:pStyle w:val="HSAGTableText"/>
              <w:numPr>
                <w:ilvl w:val="0"/>
                <w:numId w:val="76"/>
              </w:numPr>
              <w:contextualSpacing/>
              <w:rPr>
                <w:bCs/>
                <w:szCs w:val="22"/>
              </w:rPr>
            </w:pPr>
            <w:r w:rsidRPr="00B96827">
              <w:rPr>
                <w:bCs/>
                <w:szCs w:val="22"/>
              </w:rPr>
              <w:t>Include fields for “Business Associate Name,” “Date of Notification Received,” “Number of Individuals Affected,” and “Verification of Required Information Received.” </w:t>
            </w:r>
          </w:p>
          <w:p w14:paraId="3E85C207" w14:textId="77777777" w:rsidR="00D03F23" w:rsidRPr="00B96827" w:rsidRDefault="00D03F23" w:rsidP="00595A8D">
            <w:pPr>
              <w:pStyle w:val="HSAGTableText"/>
              <w:numPr>
                <w:ilvl w:val="0"/>
                <w:numId w:val="77"/>
              </w:numPr>
              <w:contextualSpacing/>
              <w:rPr>
                <w:bCs/>
                <w:szCs w:val="22"/>
              </w:rPr>
            </w:pPr>
            <w:r w:rsidRPr="00B96827">
              <w:rPr>
                <w:bCs/>
                <w:szCs w:val="22"/>
              </w:rPr>
              <w:t>Maintain all documentation for at least six (6) years. </w:t>
            </w:r>
          </w:p>
          <w:p w14:paraId="2C714B8E" w14:textId="77777777" w:rsidR="00D03F23" w:rsidRPr="00B96827" w:rsidRDefault="00D03F23" w:rsidP="00595A8D">
            <w:pPr>
              <w:pStyle w:val="HSAGTableText"/>
              <w:numPr>
                <w:ilvl w:val="0"/>
                <w:numId w:val="78"/>
              </w:numPr>
              <w:contextualSpacing/>
              <w:rPr>
                <w:bCs/>
                <w:szCs w:val="22"/>
              </w:rPr>
            </w:pPr>
            <w:r w:rsidRPr="00B96827">
              <w:rPr>
                <w:b/>
                <w:bCs/>
                <w:szCs w:val="22"/>
              </w:rPr>
              <w:t>Verification and Oversight:</w:t>
            </w:r>
            <w:r w:rsidRPr="00B96827">
              <w:rPr>
                <w:bCs/>
                <w:szCs w:val="22"/>
              </w:rPr>
              <w:t> </w:t>
            </w:r>
          </w:p>
          <w:p w14:paraId="116C453B" w14:textId="77777777" w:rsidR="00D03F23" w:rsidRPr="00B96827" w:rsidRDefault="00D03F23" w:rsidP="00595A8D">
            <w:pPr>
              <w:pStyle w:val="HSAGTableText"/>
              <w:numPr>
                <w:ilvl w:val="0"/>
                <w:numId w:val="79"/>
              </w:numPr>
              <w:contextualSpacing/>
              <w:rPr>
                <w:bCs/>
                <w:szCs w:val="22"/>
              </w:rPr>
            </w:pPr>
            <w:r w:rsidRPr="00B96827">
              <w:rPr>
                <w:bCs/>
                <w:szCs w:val="22"/>
              </w:rPr>
              <w:t>The NMRE Compliance Department will verify that business associate notifications are received within the required timeframe and contain all necessary elements. </w:t>
            </w:r>
          </w:p>
          <w:p w14:paraId="01A89638" w14:textId="77777777" w:rsidR="00D03F23" w:rsidRPr="00B96827" w:rsidRDefault="00D03F23" w:rsidP="00595A8D">
            <w:pPr>
              <w:pStyle w:val="HSAGTableText"/>
              <w:numPr>
                <w:ilvl w:val="0"/>
                <w:numId w:val="80"/>
              </w:numPr>
              <w:contextualSpacing/>
              <w:rPr>
                <w:bCs/>
                <w:szCs w:val="22"/>
              </w:rPr>
            </w:pPr>
            <w:r w:rsidRPr="00B96827">
              <w:rPr>
                <w:bCs/>
                <w:szCs w:val="22"/>
              </w:rPr>
              <w:t>Quarterly reviews will include both CMHSP delegate and Business Associate breach reports. </w:t>
            </w:r>
          </w:p>
          <w:p w14:paraId="3B979525" w14:textId="77777777" w:rsidR="00D03F23" w:rsidRPr="00B96827" w:rsidRDefault="00D03F23" w:rsidP="00595A8D">
            <w:pPr>
              <w:pStyle w:val="HSAGTableText"/>
              <w:numPr>
                <w:ilvl w:val="0"/>
                <w:numId w:val="81"/>
              </w:numPr>
              <w:contextualSpacing/>
              <w:rPr>
                <w:bCs/>
                <w:szCs w:val="22"/>
              </w:rPr>
            </w:pPr>
            <w:r w:rsidRPr="00B96827">
              <w:rPr>
                <w:b/>
                <w:bCs/>
                <w:szCs w:val="22"/>
              </w:rPr>
              <w:t>Training and Communication:</w:t>
            </w:r>
            <w:r w:rsidRPr="00B96827">
              <w:rPr>
                <w:bCs/>
                <w:szCs w:val="22"/>
              </w:rPr>
              <w:t> </w:t>
            </w:r>
          </w:p>
          <w:p w14:paraId="41418C20" w14:textId="77777777" w:rsidR="00D03F23" w:rsidRPr="00B96827" w:rsidRDefault="00D03F23" w:rsidP="00595A8D">
            <w:pPr>
              <w:pStyle w:val="HSAGTableText"/>
              <w:numPr>
                <w:ilvl w:val="0"/>
                <w:numId w:val="82"/>
              </w:numPr>
              <w:contextualSpacing/>
              <w:rPr>
                <w:bCs/>
                <w:szCs w:val="22"/>
              </w:rPr>
            </w:pPr>
            <w:r w:rsidRPr="00B96827">
              <w:rPr>
                <w:bCs/>
                <w:szCs w:val="22"/>
              </w:rPr>
              <w:t>Provide education and guidance to all current Business Associates regarding their notification responsibilities and reporting timelines. </w:t>
            </w:r>
          </w:p>
          <w:p w14:paraId="0F037A10" w14:textId="3FF41A53" w:rsidR="00D03F23" w:rsidRPr="00B96827" w:rsidRDefault="00D03F23" w:rsidP="00DB36FF">
            <w:pPr>
              <w:pStyle w:val="HSAGTableText"/>
              <w:numPr>
                <w:ilvl w:val="0"/>
                <w:numId w:val="83"/>
              </w:numPr>
              <w:contextualSpacing/>
              <w:rPr>
                <w:bCs/>
                <w:szCs w:val="22"/>
              </w:rPr>
            </w:pPr>
            <w:r w:rsidRPr="00B96827">
              <w:rPr>
                <w:bCs/>
                <w:szCs w:val="22"/>
              </w:rPr>
              <w:t>Include reference to this process in future BAA renewals or amendments. </w:t>
            </w:r>
          </w:p>
        </w:tc>
      </w:tr>
      <w:tr w:rsidR="00DB36FF" w:rsidRPr="00FC2C0F" w14:paraId="6BD7AD28" w14:textId="77777777" w:rsidTr="004E3199">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0D25526C" w14:textId="4D5ACFC2" w:rsidR="00DB36FF" w:rsidRPr="00B96827" w:rsidRDefault="00DB36FF" w:rsidP="00DB36FF">
            <w:pPr>
              <w:pStyle w:val="HSAGTableText"/>
              <w:contextualSpacing/>
              <w:rPr>
                <w:bCs/>
                <w:szCs w:val="22"/>
              </w:rPr>
            </w:pPr>
            <w:r w:rsidRPr="00B96827">
              <w:rPr>
                <w:b/>
                <w:szCs w:val="22"/>
              </w:rPr>
              <w:lastRenderedPageBreak/>
              <w:t>Responsible Individual(s):</w:t>
            </w:r>
            <w:r w:rsidR="00D03F23" w:rsidRPr="00B96827">
              <w:rPr>
                <w:b/>
                <w:szCs w:val="22"/>
              </w:rPr>
              <w:t xml:space="preserve"> </w:t>
            </w:r>
            <w:r w:rsidR="00D03F23" w:rsidRPr="00B96827">
              <w:rPr>
                <w:bCs/>
                <w:szCs w:val="22"/>
              </w:rPr>
              <w:t>Chris VanWagoner,</w:t>
            </w:r>
            <w:r w:rsidRPr="00B96827">
              <w:rPr>
                <w:bCs/>
                <w:szCs w:val="22"/>
              </w:rPr>
              <w:t xml:space="preserve"> Contract and Provider Network Manager</w:t>
            </w:r>
            <w:r w:rsidR="00D03F23" w:rsidRPr="00B96827">
              <w:rPr>
                <w:bCs/>
                <w:szCs w:val="22"/>
              </w:rPr>
              <w:t xml:space="preserve"> and Brie Molaison, Compliance and Customer Services Officer</w:t>
            </w:r>
          </w:p>
        </w:tc>
      </w:tr>
      <w:tr w:rsidR="001F2246" w:rsidRPr="00FC2C0F" w14:paraId="3C1E011E" w14:textId="77777777" w:rsidTr="004E3199">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auto"/>
            </w:tcBorders>
          </w:tcPr>
          <w:p w14:paraId="3E228EAE" w14:textId="77777777" w:rsidR="00D03F23" w:rsidRPr="00B96827" w:rsidRDefault="001F2246" w:rsidP="00D03F23">
            <w:pPr>
              <w:pStyle w:val="paragraph"/>
              <w:spacing w:before="0" w:beforeAutospacing="0" w:after="0" w:afterAutospacing="0"/>
              <w:textAlignment w:val="baseline"/>
              <w:rPr>
                <w:rFonts w:ascii="Segoe UI" w:hAnsi="Segoe UI" w:cs="Segoe UI"/>
                <w:color w:val="000000"/>
                <w:sz w:val="22"/>
                <w:szCs w:val="22"/>
              </w:rPr>
            </w:pPr>
            <w:r w:rsidRPr="00B96827">
              <w:rPr>
                <w:b/>
                <w:sz w:val="22"/>
                <w:szCs w:val="22"/>
              </w:rPr>
              <w:t>Timeline:</w:t>
            </w:r>
            <w:r w:rsidRPr="00B96827">
              <w:rPr>
                <w:bCs/>
                <w:sz w:val="22"/>
                <w:szCs w:val="22"/>
              </w:rPr>
              <w:t xml:space="preserve"> </w:t>
            </w:r>
            <w:r w:rsidR="00D03F23" w:rsidRPr="00B96827">
              <w:rPr>
                <w:rStyle w:val="normaltextrun"/>
                <w:color w:val="000000"/>
                <w:sz w:val="22"/>
                <w:szCs w:val="22"/>
              </w:rPr>
              <w:t>Policy Revision (to incorporate Business Associates in Section N): February – March 2026</w:t>
            </w:r>
            <w:r w:rsidR="00D03F23" w:rsidRPr="00B96827">
              <w:rPr>
                <w:rStyle w:val="eop"/>
                <w:color w:val="000000"/>
                <w:sz w:val="22"/>
                <w:szCs w:val="22"/>
              </w:rPr>
              <w:t> </w:t>
            </w:r>
          </w:p>
          <w:p w14:paraId="4EC88CB7" w14:textId="77777777" w:rsidR="00D03F23" w:rsidRPr="00B96827" w:rsidRDefault="00D03F23" w:rsidP="00D03F23">
            <w:pPr>
              <w:pStyle w:val="paragraph"/>
              <w:spacing w:before="0" w:beforeAutospacing="0" w:after="0" w:afterAutospacing="0"/>
              <w:textAlignment w:val="baseline"/>
              <w:rPr>
                <w:rFonts w:ascii="Segoe UI" w:hAnsi="Segoe UI" w:cs="Segoe UI"/>
                <w:color w:val="000000"/>
                <w:sz w:val="22"/>
                <w:szCs w:val="22"/>
              </w:rPr>
            </w:pPr>
            <w:r w:rsidRPr="00B96827">
              <w:rPr>
                <w:rStyle w:val="normaltextrun"/>
                <w:color w:val="000000"/>
                <w:sz w:val="22"/>
                <w:szCs w:val="22"/>
              </w:rPr>
              <w:t>Tracking Log update for Business Associate reporting: April 2026</w:t>
            </w:r>
            <w:r w:rsidRPr="00B96827">
              <w:rPr>
                <w:rStyle w:val="eop"/>
                <w:color w:val="000000"/>
                <w:sz w:val="22"/>
                <w:szCs w:val="22"/>
              </w:rPr>
              <w:t> </w:t>
            </w:r>
          </w:p>
          <w:p w14:paraId="7ECB2AB5" w14:textId="77777777" w:rsidR="00D03F23" w:rsidRPr="00B96827" w:rsidRDefault="00D03F23" w:rsidP="00D03F23">
            <w:pPr>
              <w:pStyle w:val="paragraph"/>
              <w:spacing w:before="0" w:beforeAutospacing="0" w:after="0" w:afterAutospacing="0"/>
              <w:textAlignment w:val="baseline"/>
              <w:rPr>
                <w:rFonts w:ascii="Segoe UI" w:hAnsi="Segoe UI" w:cs="Segoe UI"/>
                <w:color w:val="000000"/>
                <w:sz w:val="22"/>
                <w:szCs w:val="22"/>
              </w:rPr>
            </w:pPr>
            <w:r w:rsidRPr="00B96827">
              <w:rPr>
                <w:rStyle w:val="normaltextrun"/>
                <w:color w:val="000000"/>
                <w:sz w:val="22"/>
                <w:szCs w:val="22"/>
              </w:rPr>
              <w:t>Training and communication with Business Associates: May – June 2026</w:t>
            </w:r>
            <w:r w:rsidRPr="00B96827">
              <w:rPr>
                <w:rStyle w:val="eop"/>
                <w:color w:val="000000"/>
                <w:sz w:val="22"/>
                <w:szCs w:val="22"/>
              </w:rPr>
              <w:t> </w:t>
            </w:r>
          </w:p>
          <w:p w14:paraId="4C1AD303" w14:textId="12A2BFE4" w:rsidR="001F2246" w:rsidRPr="00B96827" w:rsidRDefault="00D03F23" w:rsidP="00B96827">
            <w:pPr>
              <w:pStyle w:val="paragraph"/>
              <w:spacing w:before="0" w:beforeAutospacing="0" w:after="0" w:afterAutospacing="0"/>
              <w:textAlignment w:val="baseline"/>
              <w:rPr>
                <w:rFonts w:ascii="Segoe UI" w:hAnsi="Segoe UI" w:cs="Segoe UI"/>
                <w:color w:val="000000"/>
                <w:sz w:val="22"/>
                <w:szCs w:val="22"/>
              </w:rPr>
            </w:pPr>
            <w:r w:rsidRPr="00B96827">
              <w:rPr>
                <w:rStyle w:val="normaltextrun"/>
                <w:color w:val="000000"/>
                <w:sz w:val="22"/>
                <w:szCs w:val="22"/>
              </w:rPr>
              <w:t>Full compliance demonstration: Next HSAG review cycle</w:t>
            </w:r>
            <w:r w:rsidRPr="00B96827">
              <w:rPr>
                <w:rStyle w:val="eop"/>
                <w:color w:val="000000"/>
                <w:sz w:val="22"/>
                <w:szCs w:val="22"/>
              </w:rPr>
              <w:t> </w:t>
            </w:r>
          </w:p>
        </w:tc>
      </w:tr>
      <w:tr w:rsidR="001F2246" w14:paraId="044B8FE1" w14:textId="77777777" w:rsidTr="0065503C">
        <w:tblPrEx>
          <w:tblCellMar>
            <w:left w:w="108" w:type="dxa"/>
            <w:right w:w="108" w:type="dxa"/>
          </w:tblCellMar>
        </w:tblPrEx>
        <w:trPr>
          <w:gridBefore w:val="1"/>
          <w:wBefore w:w="7" w:type="dxa"/>
          <w:trHeight w:val="374"/>
          <w:jc w:val="center"/>
        </w:trPr>
        <w:tc>
          <w:tcPr>
            <w:tcW w:w="10425" w:type="dxa"/>
            <w:gridSpan w:val="2"/>
            <w:tcBorders>
              <w:top w:val="single" w:sz="4" w:space="0" w:color="auto"/>
              <w:bottom w:val="single" w:sz="18" w:space="0" w:color="00549E" w:themeColor="text2"/>
            </w:tcBorders>
            <w:shd w:val="clear" w:color="auto" w:fill="F2F2F2" w:themeFill="background1" w:themeFillShade="F2"/>
          </w:tcPr>
          <w:p w14:paraId="661DAC5F" w14:textId="05557E89" w:rsidR="001F2246" w:rsidRPr="00FC2C0F" w:rsidRDefault="001F2246" w:rsidP="001F2246">
            <w:pPr>
              <w:pStyle w:val="HSAGTableText"/>
              <w:contextualSpacing/>
              <w:rPr>
                <w:bCs/>
              </w:rPr>
            </w:pPr>
            <w:r>
              <w:rPr>
                <w:b/>
              </w:rPr>
              <w:t>MDHHS/HSAG Response:</w:t>
            </w:r>
            <w:r>
              <w:rPr>
                <w:bCs/>
              </w:rPr>
              <w:t xml:space="preserve"> </w:t>
            </w:r>
            <w:r w:rsidR="00595A8D" w:rsidRPr="00595A8D">
              <w:rPr>
                <w:bCs/>
              </w:rPr>
              <w:t xml:space="preserve">The PIHP’s remediation plan is sufficient to ensure compliance with the requirements for this program area. While no additional information is required to be submitted at this time, the PIHP must proceed with </w:t>
            </w:r>
            <w:proofErr w:type="gramStart"/>
            <w:r w:rsidR="00595A8D" w:rsidRPr="00595A8D">
              <w:rPr>
                <w:bCs/>
              </w:rPr>
              <w:t>timely</w:t>
            </w:r>
            <w:proofErr w:type="gramEnd"/>
            <w:r w:rsidR="00595A8D" w:rsidRPr="00595A8D">
              <w:rPr>
                <w:bCs/>
              </w:rPr>
              <w:t xml:space="preserve"> implementation of its action plans. Please note, an </w:t>
            </w:r>
            <w:r w:rsidR="00595A8D" w:rsidRPr="00595A8D">
              <w:rPr>
                <w:bCs/>
                <w:i/>
                <w:iCs/>
              </w:rPr>
              <w:t>Accepted</w:t>
            </w:r>
            <w:r w:rsidR="00595A8D" w:rsidRPr="00595A8D">
              <w:rPr>
                <w:bCs/>
              </w:rPr>
              <w:t xml:space="preserve"> designation is not a guarantee of future compliance. Implementation of the PIHP’s action plans and demonstration of compliance will be assessed during future compliance review activities.</w:t>
            </w:r>
          </w:p>
        </w:tc>
        <w:tc>
          <w:tcPr>
            <w:tcW w:w="3579" w:type="dxa"/>
            <w:gridSpan w:val="2"/>
            <w:tcBorders>
              <w:top w:val="single" w:sz="4" w:space="0" w:color="auto"/>
              <w:bottom w:val="single" w:sz="18" w:space="0" w:color="00549E" w:themeColor="text2"/>
            </w:tcBorders>
            <w:shd w:val="clear" w:color="auto" w:fill="F2F2F2" w:themeFill="background1" w:themeFillShade="F2"/>
          </w:tcPr>
          <w:p w14:paraId="1B6A9580" w14:textId="7B9A5853" w:rsidR="001F2246" w:rsidRPr="00C123EE" w:rsidRDefault="00000000" w:rsidP="001F2246">
            <w:pPr>
              <w:pStyle w:val="HSAGTableText"/>
              <w:contextualSpacing/>
              <w:rPr>
                <w:bCs/>
              </w:rPr>
            </w:pPr>
            <w:sdt>
              <w:sdtPr>
                <w:rPr>
                  <w:bCs/>
                </w:rPr>
                <w:id w:val="-1700311791"/>
                <w14:checkbox>
                  <w14:checked w14:val="1"/>
                  <w14:checkedState w14:val="2612" w14:font="MS Gothic"/>
                  <w14:uncheckedState w14:val="2610" w14:font="MS Gothic"/>
                </w14:checkbox>
              </w:sdtPr>
              <w:sdtContent>
                <w:r w:rsidR="00595A8D">
                  <w:rPr>
                    <w:rFonts w:ascii="MS Gothic" w:eastAsia="MS Gothic" w:hAnsi="MS Gothic" w:hint="eastAsia"/>
                    <w:bCs/>
                  </w:rPr>
                  <w:t>☒</w:t>
                </w:r>
              </w:sdtContent>
            </w:sdt>
            <w:r w:rsidR="001F2246" w:rsidRPr="00C123EE">
              <w:rPr>
                <w:bCs/>
              </w:rPr>
              <w:t xml:space="preserve"> Accepted</w:t>
            </w:r>
          </w:p>
          <w:p w14:paraId="62F612EF" w14:textId="77777777" w:rsidR="001F2246" w:rsidRPr="00C123EE" w:rsidRDefault="00000000" w:rsidP="001F2246">
            <w:pPr>
              <w:pStyle w:val="HSAGTableText"/>
              <w:contextualSpacing/>
              <w:rPr>
                <w:bCs/>
              </w:rPr>
            </w:pPr>
            <w:sdt>
              <w:sdtPr>
                <w:rPr>
                  <w:bCs/>
                </w:rPr>
                <w:id w:val="-554928799"/>
                <w14:checkbox>
                  <w14:checked w14:val="0"/>
                  <w14:checkedState w14:val="2612" w14:font="MS Gothic"/>
                  <w14:uncheckedState w14:val="2610" w14:font="MS Gothic"/>
                </w14:checkbox>
              </w:sdtPr>
              <w:sdtContent>
                <w:r w:rsidR="001F2246" w:rsidRPr="00C123EE">
                  <w:rPr>
                    <w:rFonts w:ascii="MS Gothic" w:eastAsia="MS Gothic" w:hAnsi="MS Gothic" w:hint="eastAsia"/>
                    <w:bCs/>
                  </w:rPr>
                  <w:t>☐</w:t>
                </w:r>
              </w:sdtContent>
            </w:sdt>
            <w:r w:rsidR="001F2246" w:rsidRPr="00C123EE">
              <w:rPr>
                <w:bCs/>
              </w:rPr>
              <w:t xml:space="preserve"> Accepted </w:t>
            </w:r>
            <w:r w:rsidR="001F2246">
              <w:rPr>
                <w:bCs/>
              </w:rPr>
              <w:t>W</w:t>
            </w:r>
            <w:r w:rsidR="001F2246" w:rsidRPr="00C123EE">
              <w:rPr>
                <w:bCs/>
              </w:rPr>
              <w:t>ith Recommendations</w:t>
            </w:r>
          </w:p>
          <w:p w14:paraId="154146F3" w14:textId="77777777" w:rsidR="001F2246" w:rsidRDefault="00000000" w:rsidP="001F2246">
            <w:pPr>
              <w:pStyle w:val="HSAGTableText"/>
              <w:contextualSpacing/>
              <w:rPr>
                <w:b/>
              </w:rPr>
            </w:pPr>
            <w:sdt>
              <w:sdtPr>
                <w:rPr>
                  <w:bCs/>
                </w:rPr>
                <w:id w:val="1619723452"/>
                <w14:checkbox>
                  <w14:checked w14:val="0"/>
                  <w14:checkedState w14:val="2612" w14:font="MS Gothic"/>
                  <w14:uncheckedState w14:val="2610" w14:font="MS Gothic"/>
                </w14:checkbox>
              </w:sdtPr>
              <w:sdtContent>
                <w:r w:rsidR="001F2246" w:rsidRPr="00C123EE">
                  <w:rPr>
                    <w:rFonts w:ascii="MS Gothic" w:eastAsia="MS Gothic" w:hAnsi="MS Gothic" w:hint="eastAsia"/>
                    <w:bCs/>
                  </w:rPr>
                  <w:t>☐</w:t>
                </w:r>
              </w:sdtContent>
            </w:sdt>
            <w:r w:rsidR="001F2246" w:rsidRPr="00C123EE">
              <w:rPr>
                <w:bCs/>
              </w:rPr>
              <w:t xml:space="preserve"> Not Accepted</w:t>
            </w:r>
          </w:p>
        </w:tc>
      </w:tr>
      <w:tr w:rsidR="001F2246" w:rsidRPr="00903F99" w14:paraId="3A5121E9" w14:textId="77777777" w:rsidTr="00B96827">
        <w:trPr>
          <w:trHeight w:val="374"/>
          <w:jc w:val="center"/>
        </w:trPr>
        <w:tc>
          <w:tcPr>
            <w:tcW w:w="6745" w:type="dxa"/>
            <w:gridSpan w:val="2"/>
            <w:vMerge w:val="restart"/>
          </w:tcPr>
          <w:p w14:paraId="41B90575" w14:textId="77777777" w:rsidR="001F2246" w:rsidRPr="001408D5" w:rsidRDefault="001F2246" w:rsidP="001F2246">
            <w:pPr>
              <w:pStyle w:val="ListNoNum"/>
              <w:rPr>
                <w:i/>
                <w:iCs/>
              </w:rPr>
            </w:pPr>
            <w:r w:rsidRPr="001408D5">
              <w:rPr>
                <w:iCs/>
                <w:spacing w:val="-4"/>
              </w:rPr>
              <w:t>22.</w:t>
            </w:r>
            <w:r w:rsidRPr="001408D5">
              <w:rPr>
                <w:iCs/>
                <w:spacing w:val="-4"/>
              </w:rPr>
              <w:tab/>
            </w:r>
            <w:r w:rsidRPr="001408D5">
              <w:rPr>
                <w:iCs/>
              </w:rPr>
              <w:t>The PIHP’s members have a right to adequate notice of the uses and disclosures of PHI that may be made by the PIHP, and of the member’s rights and the PIHP’s legal duties with respect to PHI.</w:t>
            </w:r>
          </w:p>
          <w:p w14:paraId="72134001" w14:textId="77777777" w:rsidR="001F2246" w:rsidRPr="001408D5" w:rsidRDefault="001F2246" w:rsidP="001F2246">
            <w:pPr>
              <w:pStyle w:val="ListNoNum2"/>
              <w:ind w:left="692"/>
              <w:rPr>
                <w:i/>
                <w:iCs/>
              </w:rPr>
            </w:pPr>
            <w:r w:rsidRPr="001408D5">
              <w:rPr>
                <w:iCs/>
              </w:rPr>
              <w:t>a</w:t>
            </w:r>
            <w:proofErr w:type="gramStart"/>
            <w:r w:rsidRPr="001408D5">
              <w:rPr>
                <w:iCs/>
              </w:rPr>
              <w:t xml:space="preserve">. </w:t>
            </w:r>
            <w:r w:rsidRPr="001408D5">
              <w:rPr>
                <w:iCs/>
              </w:rPr>
              <w:tab/>
              <w:t>The</w:t>
            </w:r>
            <w:proofErr w:type="gramEnd"/>
            <w:r w:rsidRPr="001408D5">
              <w:rPr>
                <w:iCs/>
              </w:rPr>
              <w:t xml:space="preserve"> PIHP provides a notice that is written in plain language and that contains the elements required by 45 CFR §164.520(b)(1).</w:t>
            </w:r>
          </w:p>
          <w:p w14:paraId="678B52C8" w14:textId="77777777" w:rsidR="001F2246" w:rsidRPr="001408D5" w:rsidRDefault="001F2246" w:rsidP="001F2246">
            <w:pPr>
              <w:pStyle w:val="ListNoNum2"/>
              <w:ind w:left="692"/>
              <w:rPr>
                <w:i/>
                <w:iCs/>
              </w:rPr>
            </w:pPr>
            <w:r w:rsidRPr="001408D5">
              <w:rPr>
                <w:iCs/>
              </w:rPr>
              <w:t>b</w:t>
            </w:r>
            <w:proofErr w:type="gramStart"/>
            <w:r w:rsidRPr="001408D5">
              <w:rPr>
                <w:iCs/>
              </w:rPr>
              <w:t xml:space="preserve">. </w:t>
            </w:r>
            <w:r w:rsidRPr="001408D5">
              <w:rPr>
                <w:iCs/>
              </w:rPr>
              <w:tab/>
              <w:t>The</w:t>
            </w:r>
            <w:proofErr w:type="gramEnd"/>
            <w:r w:rsidRPr="001408D5">
              <w:rPr>
                <w:iCs/>
              </w:rPr>
              <w:t xml:space="preserve"> PIHP makes the notice available to its members on request as </w:t>
            </w:r>
            <w:proofErr w:type="gramStart"/>
            <w:r w:rsidRPr="001408D5">
              <w:rPr>
                <w:iCs/>
              </w:rPr>
              <w:t>required</w:t>
            </w:r>
            <w:proofErr w:type="gramEnd"/>
            <w:r w:rsidRPr="001408D5">
              <w:rPr>
                <w:iCs/>
              </w:rPr>
              <w:t xml:space="preserve"> by 45 CFR §164.520(c).</w:t>
            </w:r>
          </w:p>
          <w:p w14:paraId="66F3BC90" w14:textId="77777777" w:rsidR="001F2246" w:rsidRPr="001408D5" w:rsidRDefault="001F2246" w:rsidP="001F2246">
            <w:pPr>
              <w:pStyle w:val="HSAGTableContracttext"/>
            </w:pPr>
          </w:p>
          <w:p w14:paraId="2F95CE75" w14:textId="77777777" w:rsidR="001F2246" w:rsidRPr="001408D5" w:rsidRDefault="001F2246" w:rsidP="001F2246">
            <w:pPr>
              <w:pStyle w:val="HSAGTableContracttext"/>
              <w:rPr>
                <w:i/>
              </w:rPr>
            </w:pPr>
            <w:r w:rsidRPr="001408D5">
              <w:t>45 CFR §164.520(a)(1)</w:t>
            </w:r>
          </w:p>
          <w:p w14:paraId="211E38CB" w14:textId="77777777" w:rsidR="001F2246" w:rsidRPr="001408D5" w:rsidRDefault="001F2246" w:rsidP="001F2246">
            <w:pPr>
              <w:pStyle w:val="HSAGTableContracttext"/>
              <w:rPr>
                <w:i/>
              </w:rPr>
            </w:pPr>
            <w:r w:rsidRPr="001408D5">
              <w:t>45 CFR §164.520(b)(1)</w:t>
            </w:r>
          </w:p>
          <w:p w14:paraId="1F7598DE" w14:textId="77777777" w:rsidR="001F2246" w:rsidRPr="001408D5" w:rsidRDefault="001F2246" w:rsidP="001F2246">
            <w:pPr>
              <w:pStyle w:val="HSAGTableContracttext"/>
              <w:rPr>
                <w:i/>
              </w:rPr>
            </w:pPr>
            <w:r w:rsidRPr="001408D5">
              <w:t>45 CFR §164.520(c)</w:t>
            </w:r>
          </w:p>
          <w:p w14:paraId="0814EEA5" w14:textId="7D763D4F" w:rsidR="001F2246" w:rsidRPr="00903F99" w:rsidRDefault="001F2246" w:rsidP="001F2246">
            <w:pPr>
              <w:pStyle w:val="HSAGTableContracttext"/>
              <w:keepNext/>
              <w:spacing w:before="0" w:after="0"/>
              <w:ind w:left="1440"/>
              <w:contextualSpacing/>
              <w:rPr>
                <w:i/>
                <w:szCs w:val="18"/>
              </w:rPr>
            </w:pPr>
            <w:r w:rsidRPr="001408D5">
              <w:t>42 CFR §457.1110</w:t>
            </w:r>
          </w:p>
        </w:tc>
        <w:tc>
          <w:tcPr>
            <w:tcW w:w="5840" w:type="dxa"/>
            <w:gridSpan w:val="2"/>
            <w:shd w:val="clear" w:color="auto" w:fill="FFFFFF" w:themeFill="background1"/>
          </w:tcPr>
          <w:p w14:paraId="3C1AF689" w14:textId="77777777" w:rsidR="001F2246" w:rsidRPr="001408D5" w:rsidRDefault="001F2246" w:rsidP="001F2246">
            <w:pPr>
              <w:pStyle w:val="HSAGTableText"/>
              <w:contextualSpacing/>
              <w:rPr>
                <w:b/>
                <w:bCs/>
              </w:rPr>
            </w:pPr>
            <w:r w:rsidRPr="001408D5">
              <w:rPr>
                <w:b/>
                <w:bCs/>
              </w:rPr>
              <w:lastRenderedPageBreak/>
              <w:t>HSAG Required Evidence:</w:t>
            </w:r>
          </w:p>
          <w:p w14:paraId="7170C2E7" w14:textId="77777777" w:rsidR="001F2246" w:rsidRPr="001408D5" w:rsidRDefault="001F2246" w:rsidP="00595A8D">
            <w:pPr>
              <w:pStyle w:val="HSAGTableText"/>
              <w:numPr>
                <w:ilvl w:val="0"/>
                <w:numId w:val="19"/>
              </w:numPr>
              <w:contextualSpacing/>
            </w:pPr>
            <w:r w:rsidRPr="001408D5">
              <w:t>Policies and procedures</w:t>
            </w:r>
          </w:p>
          <w:p w14:paraId="0DF20FA8" w14:textId="77777777" w:rsidR="001F2246" w:rsidRPr="001408D5" w:rsidRDefault="001F2246" w:rsidP="00595A8D">
            <w:pPr>
              <w:pStyle w:val="HSAGTableText"/>
              <w:numPr>
                <w:ilvl w:val="0"/>
                <w:numId w:val="19"/>
              </w:numPr>
              <w:contextualSpacing/>
            </w:pPr>
            <w:r w:rsidRPr="001408D5">
              <w:t>Copy of Notice of Privacy Practices</w:t>
            </w:r>
          </w:p>
          <w:p w14:paraId="281787E7" w14:textId="77777777" w:rsidR="001F2246" w:rsidRDefault="001F2246" w:rsidP="00595A8D">
            <w:pPr>
              <w:pStyle w:val="HSAGTableText"/>
              <w:numPr>
                <w:ilvl w:val="0"/>
                <w:numId w:val="19"/>
              </w:numPr>
              <w:contextualSpacing/>
            </w:pPr>
            <w:r w:rsidRPr="001408D5">
              <w:t>Link to Notice of Privacy Practices on the PIHP’s website</w:t>
            </w:r>
          </w:p>
          <w:p w14:paraId="2613D662" w14:textId="09DAC07F" w:rsidR="001F2246" w:rsidRPr="00903F99" w:rsidRDefault="001F2246" w:rsidP="00595A8D">
            <w:pPr>
              <w:pStyle w:val="HSAGTableText"/>
              <w:numPr>
                <w:ilvl w:val="0"/>
                <w:numId w:val="19"/>
              </w:numPr>
              <w:contextualSpacing/>
            </w:pPr>
            <w:r w:rsidRPr="001408D5">
              <w:t>Staff training materials</w:t>
            </w:r>
          </w:p>
        </w:tc>
        <w:tc>
          <w:tcPr>
            <w:tcW w:w="1426" w:type="dxa"/>
            <w:vMerge w:val="restart"/>
            <w:shd w:val="clear" w:color="auto" w:fill="FFFFFF" w:themeFill="background1"/>
          </w:tcPr>
          <w:p w14:paraId="7C2A5912" w14:textId="77777777" w:rsidR="001F2246" w:rsidRPr="001408D5" w:rsidRDefault="00000000" w:rsidP="001F2246">
            <w:pPr>
              <w:spacing w:before="60" w:after="0"/>
              <w:contextualSpacing/>
              <w:rPr>
                <w:sz w:val="22"/>
              </w:rPr>
            </w:pPr>
            <w:sdt>
              <w:sdtPr>
                <w:rPr>
                  <w:sz w:val="22"/>
                </w:rPr>
                <w:id w:val="1368025350"/>
                <w14:checkbox>
                  <w14:checked w14:val="0"/>
                  <w14:checkedState w14:val="2612" w14:font="MS Gothic"/>
                  <w14:uncheckedState w14:val="2610" w14:font="MS Gothic"/>
                </w14:checkbox>
              </w:sdtPr>
              <w:sdtContent>
                <w:r w:rsidR="001F2246" w:rsidRPr="001408D5">
                  <w:rPr>
                    <w:rFonts w:ascii="MS Gothic" w:eastAsia="MS Gothic" w:hAnsi="MS Gothic" w:hint="eastAsia"/>
                    <w:sz w:val="22"/>
                  </w:rPr>
                  <w:t>☐</w:t>
                </w:r>
              </w:sdtContent>
            </w:sdt>
            <w:r w:rsidR="001F2246" w:rsidRPr="001408D5">
              <w:rPr>
                <w:sz w:val="22"/>
              </w:rPr>
              <w:t xml:space="preserve"> Met</w:t>
            </w:r>
          </w:p>
          <w:p w14:paraId="7FA808C9" w14:textId="77777777" w:rsidR="001F2246" w:rsidRPr="001408D5" w:rsidRDefault="00000000" w:rsidP="001F2246">
            <w:pPr>
              <w:spacing w:before="60" w:after="0"/>
              <w:contextualSpacing/>
              <w:rPr>
                <w:sz w:val="22"/>
              </w:rPr>
            </w:pPr>
            <w:sdt>
              <w:sdtPr>
                <w:rPr>
                  <w:sz w:val="22"/>
                </w:rPr>
                <w:id w:val="1446580459"/>
                <w14:checkbox>
                  <w14:checked w14:val="1"/>
                  <w14:checkedState w14:val="2612" w14:font="MS Gothic"/>
                  <w14:uncheckedState w14:val="2610" w14:font="MS Gothic"/>
                </w14:checkbox>
              </w:sdtPr>
              <w:sdtContent>
                <w:r w:rsidR="001F2246" w:rsidRPr="001408D5">
                  <w:rPr>
                    <w:rFonts w:ascii="MS Gothic" w:eastAsia="MS Gothic" w:hAnsi="MS Gothic" w:hint="eastAsia"/>
                    <w:sz w:val="22"/>
                  </w:rPr>
                  <w:t>☒</w:t>
                </w:r>
              </w:sdtContent>
            </w:sdt>
            <w:r w:rsidR="001F2246" w:rsidRPr="001408D5">
              <w:rPr>
                <w:sz w:val="22"/>
              </w:rPr>
              <w:t xml:space="preserve"> Not Met</w:t>
            </w:r>
          </w:p>
          <w:p w14:paraId="6214280B" w14:textId="6C6613F5" w:rsidR="001F2246" w:rsidRPr="00903F99" w:rsidRDefault="00000000" w:rsidP="001F2246">
            <w:pPr>
              <w:spacing w:before="0" w:after="0"/>
              <w:contextualSpacing/>
              <w:rPr>
                <w:sz w:val="22"/>
              </w:rPr>
            </w:pPr>
            <w:sdt>
              <w:sdtPr>
                <w:rPr>
                  <w:sz w:val="22"/>
                </w:rPr>
                <w:id w:val="1095818535"/>
                <w14:checkbox>
                  <w14:checked w14:val="0"/>
                  <w14:checkedState w14:val="2612" w14:font="MS Gothic"/>
                  <w14:uncheckedState w14:val="2610" w14:font="MS Gothic"/>
                </w14:checkbox>
              </w:sdtPr>
              <w:sdtContent>
                <w:r w:rsidR="001F2246" w:rsidRPr="001408D5">
                  <w:rPr>
                    <w:rFonts w:ascii="MS Gothic" w:eastAsia="MS Gothic" w:hAnsi="MS Gothic" w:hint="eastAsia"/>
                    <w:sz w:val="22"/>
                  </w:rPr>
                  <w:t>☐</w:t>
                </w:r>
              </w:sdtContent>
            </w:sdt>
            <w:r w:rsidR="001F2246" w:rsidRPr="001408D5">
              <w:rPr>
                <w:sz w:val="22"/>
              </w:rPr>
              <w:t xml:space="preserve"> NA</w:t>
            </w:r>
          </w:p>
        </w:tc>
      </w:tr>
      <w:tr w:rsidR="001F2246" w:rsidRPr="00903F99" w14:paraId="4F0792D2" w14:textId="77777777" w:rsidTr="00B96827">
        <w:trPr>
          <w:trHeight w:val="374"/>
          <w:jc w:val="center"/>
        </w:trPr>
        <w:tc>
          <w:tcPr>
            <w:tcW w:w="6745" w:type="dxa"/>
            <w:gridSpan w:val="2"/>
            <w:vMerge/>
          </w:tcPr>
          <w:p w14:paraId="558EC168" w14:textId="77777777" w:rsidR="001F2246" w:rsidRPr="00903F99" w:rsidRDefault="001F2246" w:rsidP="00595A8D">
            <w:pPr>
              <w:pStyle w:val="HSAGNumbers"/>
              <w:numPr>
                <w:ilvl w:val="0"/>
                <w:numId w:val="16"/>
              </w:numPr>
              <w:spacing w:before="0" w:after="0"/>
              <w:contextualSpacing/>
            </w:pPr>
          </w:p>
        </w:tc>
        <w:tc>
          <w:tcPr>
            <w:tcW w:w="5840" w:type="dxa"/>
            <w:gridSpan w:val="2"/>
            <w:shd w:val="clear" w:color="auto" w:fill="FFFFFF" w:themeFill="background1"/>
          </w:tcPr>
          <w:p w14:paraId="23189178" w14:textId="77777777" w:rsidR="001F2246" w:rsidRPr="001408D5" w:rsidRDefault="001F2246" w:rsidP="001F2246">
            <w:pPr>
              <w:pStyle w:val="HSAGTableText"/>
              <w:contextualSpacing/>
              <w:rPr>
                <w:b/>
                <w:bCs/>
              </w:rPr>
            </w:pPr>
            <w:r w:rsidRPr="001408D5">
              <w:rPr>
                <w:b/>
                <w:bCs/>
              </w:rPr>
              <w:t>Evidence as Submitted by the PIHP:</w:t>
            </w:r>
          </w:p>
          <w:p w14:paraId="00917EFE" w14:textId="77777777" w:rsidR="001F2246" w:rsidRPr="001408D5" w:rsidRDefault="001F2246" w:rsidP="00595A8D">
            <w:pPr>
              <w:pStyle w:val="HSAGTableText"/>
              <w:numPr>
                <w:ilvl w:val="0"/>
                <w:numId w:val="22"/>
              </w:numPr>
              <w:contextualSpacing/>
            </w:pPr>
            <w:r w:rsidRPr="001408D5">
              <w:t>S8_E22_Notice of Privacy Practices (page 2)</w:t>
            </w:r>
          </w:p>
          <w:p w14:paraId="68C173F1" w14:textId="77777777" w:rsidR="001F2246" w:rsidRPr="001408D5" w:rsidRDefault="001F2246" w:rsidP="00595A8D">
            <w:pPr>
              <w:pStyle w:val="HSAGTableText"/>
              <w:numPr>
                <w:ilvl w:val="0"/>
                <w:numId w:val="22"/>
              </w:numPr>
              <w:contextualSpacing/>
            </w:pPr>
            <w:r w:rsidRPr="001408D5">
              <w:lastRenderedPageBreak/>
              <w:t>S8_E22_Breach Notification Policy page 5 of 10</w:t>
            </w:r>
          </w:p>
          <w:p w14:paraId="21091473" w14:textId="77777777" w:rsidR="001F2246" w:rsidRDefault="001F2246" w:rsidP="00595A8D">
            <w:pPr>
              <w:pStyle w:val="HSAGTableText"/>
              <w:numPr>
                <w:ilvl w:val="0"/>
                <w:numId w:val="22"/>
              </w:numPr>
              <w:contextualSpacing/>
            </w:pPr>
            <w:r w:rsidRPr="001408D5">
              <w:t>S8_E22_Screenshot_Website Privacy Practices</w:t>
            </w:r>
          </w:p>
          <w:p w14:paraId="609EA3D9" w14:textId="671E4960" w:rsidR="001F2246" w:rsidRPr="00903F99" w:rsidRDefault="001F2246" w:rsidP="00595A8D">
            <w:pPr>
              <w:pStyle w:val="HSAGTableText"/>
              <w:numPr>
                <w:ilvl w:val="0"/>
                <w:numId w:val="22"/>
              </w:numPr>
              <w:contextualSpacing/>
            </w:pPr>
            <w:r w:rsidRPr="001408D5">
              <w:t>S8_E22_</w:t>
            </w:r>
            <w:hyperlink r:id="rId8" w:history="1">
              <w:r w:rsidRPr="001408D5">
                <w:rPr>
                  <w:rStyle w:val="Hyperlink"/>
                </w:rPr>
                <w:t>Resources | NMRE</w:t>
              </w:r>
            </w:hyperlink>
          </w:p>
        </w:tc>
        <w:tc>
          <w:tcPr>
            <w:tcW w:w="1426" w:type="dxa"/>
            <w:vMerge/>
            <w:shd w:val="clear" w:color="auto" w:fill="FFFFFF" w:themeFill="background1"/>
          </w:tcPr>
          <w:p w14:paraId="41009958" w14:textId="77777777" w:rsidR="001F2246" w:rsidRPr="00903F99" w:rsidRDefault="001F2246" w:rsidP="001F2246">
            <w:pPr>
              <w:spacing w:before="0" w:after="0"/>
              <w:contextualSpacing/>
              <w:rPr>
                <w:sz w:val="22"/>
              </w:rPr>
            </w:pPr>
          </w:p>
        </w:tc>
      </w:tr>
      <w:tr w:rsidR="001F2246" w:rsidRPr="00903F99" w14:paraId="1E7DE1E6" w14:textId="77777777" w:rsidTr="004E3199">
        <w:trPr>
          <w:trHeight w:val="374"/>
          <w:jc w:val="center"/>
        </w:trPr>
        <w:tc>
          <w:tcPr>
            <w:tcW w:w="14011" w:type="dxa"/>
            <w:gridSpan w:val="5"/>
            <w:vAlign w:val="center"/>
          </w:tcPr>
          <w:p w14:paraId="70985190" w14:textId="60CB8D8E" w:rsidR="001F2246" w:rsidRPr="00903F99" w:rsidRDefault="001F2246" w:rsidP="001F2246">
            <w:pPr>
              <w:pStyle w:val="HSAGTableText"/>
              <w:spacing w:before="0" w:after="0"/>
            </w:pPr>
            <w:r w:rsidRPr="001408D5">
              <w:rPr>
                <w:b/>
              </w:rPr>
              <w:t>PIHP Description of Process:</w:t>
            </w:r>
            <w:r w:rsidRPr="001408D5">
              <w:t xml:space="preserve"> The NMRE provides written notice in in plain language according to regulation, for the disclosure of PHI. The notice is available to all beneficiaries via the NMRE website. </w:t>
            </w:r>
          </w:p>
        </w:tc>
      </w:tr>
      <w:tr w:rsidR="001F2246" w:rsidRPr="0026679F" w14:paraId="3B4E8387" w14:textId="77777777" w:rsidTr="004E3199">
        <w:trPr>
          <w:trHeight w:val="374"/>
          <w:jc w:val="center"/>
        </w:trPr>
        <w:tc>
          <w:tcPr>
            <w:tcW w:w="14011" w:type="dxa"/>
            <w:gridSpan w:val="5"/>
            <w:tcBorders>
              <w:bottom w:val="single" w:sz="4" w:space="0" w:color="000000"/>
            </w:tcBorders>
            <w:vAlign w:val="center"/>
          </w:tcPr>
          <w:p w14:paraId="7C027D57" w14:textId="77777777" w:rsidR="001F2246" w:rsidRPr="001408D5" w:rsidRDefault="001F2246" w:rsidP="001F2246">
            <w:pPr>
              <w:pStyle w:val="HSAGTableText"/>
            </w:pPr>
            <w:r w:rsidRPr="001408D5">
              <w:rPr>
                <w:b/>
              </w:rPr>
              <w:t>HSAG Findings:</w:t>
            </w:r>
            <w:r w:rsidRPr="001408D5">
              <w:t xml:space="preserve"> The PIHP submitted an outdated version of its Notice of Privacy Practices (NOPP) as evidence (revised March 2021) and was unable to confirm during the site review whether the outdated version or the version on the PIHP’s website (revised January 12, 2023) was provided to its members during the review period (i.e., January 1, 2024, through December 31, 2024). HSAG requested the PIHP verify which version was used during the 2024 review period as follow-up. </w:t>
            </w:r>
            <w:r w:rsidRPr="001408D5">
              <w:rPr>
                <w:iCs/>
              </w:rPr>
              <w:t>Following the site review</w:t>
            </w:r>
            <w:r w:rsidRPr="001408D5">
              <w:t>, the PIHP responded that there is “no evidence,” and that the PIHP “will work with staff to review the NOPP and ensure that consistent versions are being used.” Additionally, the revised notice on the PIHP’s website still did not contain the header to read exactly as required under 45 CFR §164.520(b)(1)(</w:t>
            </w:r>
            <w:proofErr w:type="spellStart"/>
            <w:r w:rsidRPr="001408D5">
              <w:t>i</w:t>
            </w:r>
            <w:proofErr w:type="spellEnd"/>
            <w:r w:rsidRPr="001408D5">
              <w:t>), or at least one example of the types of uses and disclosures that the covered entity is permitted to make for the purposes of payment. Finally, the revised notice on the PIHP’s website did not contain a description for the types of use and disclosure that requires an authorization under §164.508(a)(2)</w:t>
            </w:r>
            <w:proofErr w:type="gramStart"/>
            <w:r w:rsidRPr="001408D5">
              <w:t>–(</w:t>
            </w:r>
            <w:proofErr w:type="gramEnd"/>
            <w:r w:rsidRPr="001408D5">
              <w:t>4).</w:t>
            </w:r>
          </w:p>
          <w:p w14:paraId="5E4FED46" w14:textId="533F2329" w:rsidR="001F2246" w:rsidRPr="0026679F" w:rsidRDefault="001F2246" w:rsidP="001F2246">
            <w:pPr>
              <w:pStyle w:val="HSAGTableText"/>
              <w:spacing w:before="0"/>
            </w:pPr>
            <w:r w:rsidRPr="001408D5">
              <w:rPr>
                <w:b/>
                <w:bCs/>
              </w:rPr>
              <w:t>Recommendations:</w:t>
            </w:r>
            <w:r w:rsidRPr="001408D5">
              <w:t xml:space="preserve"> HSAG strongly recommends that the PIHP proceed with its plan to work with its staff to review the NOPP and ensure consistent versions are being used. Additionally, HSAG continues to strongly recommend that the PIHP review and revise its NOPP to reflect the requirements under 45 CFR §164.520(b)(1), e.g., update the header statement to mirror federal requirements under 45 CFR §164.520(b)(1)(</w:t>
            </w:r>
            <w:proofErr w:type="spellStart"/>
            <w:r w:rsidRPr="001408D5">
              <w:t>i</w:t>
            </w:r>
            <w:proofErr w:type="spellEnd"/>
            <w:r w:rsidRPr="001408D5">
              <w:t xml:space="preserve">), include at least one example of the types of uses and disclosures that the covered entity is permitted to make for the purposes of payment under 45 CFR §164.520(b)(1)(ii)(A), as well as include a description of the types of uses and disclosures that require an authorization under §164.508(a)(2)–(4), which relate to psychotherapy notes, marketing, and sale of PHI as required for the NOPP under 45 CFR §164.520(b)(1)(ii)(E). Further, part of the PIHP’s prior CAP was to update its “compliance and ethics training to include that the NOPP will be provided to beneficiaries when they register for service, when privacy practice changes, and at least every three years or upon request.” While this was evident in the PIHP’s </w:t>
            </w:r>
            <w:r w:rsidRPr="001408D5">
              <w:rPr>
                <w:i/>
                <w:iCs/>
              </w:rPr>
              <w:t>S8_E6_Compliance_Training_18</w:t>
            </w:r>
            <w:r w:rsidRPr="001408D5">
              <w:t xml:space="preserve">, it was not evident in CMHSP </w:t>
            </w:r>
            <w:r w:rsidRPr="001408D5">
              <w:rPr>
                <w:i/>
                <w:iCs/>
              </w:rPr>
              <w:t>S8_E4 Training 2024_slides</w:t>
            </w:r>
            <w:r w:rsidRPr="001408D5">
              <w:t>. HSAG strongly recommends the PIHP ensure its delegates’ training outline all requirements for providing the NOPP to its members under this element. Furthermore, the formatting of the NOPP could be improved overall. HSAG continues to strongly recommend the PIHP review published examples of the NOPP and determine whether it could be updated to be more user friendly and possibly have some of the headers stand out to the reader, such as information regarding: why the PIHP would use or share PHI (for treatment, for payment, for health care operations); when the PIHP can use or share PHI without getting written authorization (approval) from the member; when the PIHP needs written authorization (approval) to use or share PHI; the member’s health information rights; and what the member can do if rights have not been protected. Moreover, HSAG continues to strongly recommend that the PIHP’s formal oversight process of its delegated entities include a component for assessing each entity’s procedures for providing a NOPP and confirm that each delegated entity’s NOPP includes the required components as indicated in 45 CFR §164.520(b)(</w:t>
            </w:r>
            <w:proofErr w:type="gramStart"/>
            <w:r w:rsidRPr="001408D5">
              <w:t>1)(</w:t>
            </w:r>
            <w:proofErr w:type="spellStart"/>
            <w:proofErr w:type="gramEnd"/>
            <w:r w:rsidRPr="001408D5">
              <w:t>i</w:t>
            </w:r>
            <w:proofErr w:type="spellEnd"/>
            <w:r w:rsidRPr="001408D5">
              <w:t xml:space="preserve">-viii). The PIHP should </w:t>
            </w:r>
            <w:r w:rsidRPr="001408D5">
              <w:lastRenderedPageBreak/>
              <w:t xml:space="preserve">also confirm that its website and its delegated entities’ websites have the NOPP in a conspicuous location so that members can easily retrieve a copy of the NOPP as necessary. Finally, although the new requirements outlined in 45 CFR §164.520 effective in February 2026 were discussed during the site review, HSAG strongly recommends that the PIHP ensure it is adhering to updates made to 45 CFR §164.520, as applicable, and ensure it includes a statement regarding the federal requirements outlined under 42 CFR Part 2 for protecting and prohibiting the sharing of SUD treatment records without prior written consent. If the PIHP does not demonstrate adequate implementation of HSAG’s recommendations during future compliance reviews, the PIHP may receive a </w:t>
            </w:r>
            <w:r w:rsidRPr="001408D5">
              <w:rPr>
                <w:i/>
                <w:iCs/>
              </w:rPr>
              <w:t>Not Met</w:t>
            </w:r>
            <w:r w:rsidRPr="001408D5">
              <w:t xml:space="preserve"> score.</w:t>
            </w:r>
          </w:p>
        </w:tc>
      </w:tr>
      <w:tr w:rsidR="001F2246" w:rsidRPr="0026679F" w14:paraId="2078F1F4" w14:textId="77777777" w:rsidTr="004E3199">
        <w:trPr>
          <w:trHeight w:val="374"/>
          <w:jc w:val="center"/>
        </w:trPr>
        <w:tc>
          <w:tcPr>
            <w:tcW w:w="14011" w:type="dxa"/>
            <w:gridSpan w:val="5"/>
            <w:tcBorders>
              <w:top w:val="single" w:sz="4" w:space="0" w:color="000000"/>
              <w:bottom w:val="single" w:sz="4" w:space="0" w:color="auto"/>
            </w:tcBorders>
            <w:vAlign w:val="center"/>
          </w:tcPr>
          <w:p w14:paraId="4E189780" w14:textId="44EFC681" w:rsidR="001F2246" w:rsidRPr="0026679F" w:rsidRDefault="001F2246" w:rsidP="001F2246">
            <w:pPr>
              <w:pStyle w:val="HSAGTableText"/>
              <w:rPr>
                <w:b/>
              </w:rPr>
            </w:pPr>
            <w:r w:rsidRPr="001408D5">
              <w:rPr>
                <w:b/>
              </w:rPr>
              <w:lastRenderedPageBreak/>
              <w:t>Required Actions:</w:t>
            </w:r>
            <w:r w:rsidRPr="001408D5">
              <w:t xml:space="preserve"> The PIHP must ensure its NOPP includes all required components as indicated in 45 CFR §164.520(b)(</w:t>
            </w:r>
            <w:proofErr w:type="gramStart"/>
            <w:r w:rsidRPr="001408D5">
              <w:t>1)(</w:t>
            </w:r>
            <w:proofErr w:type="spellStart"/>
            <w:proofErr w:type="gramEnd"/>
            <w:r w:rsidRPr="001408D5">
              <w:t>i</w:t>
            </w:r>
            <w:proofErr w:type="spellEnd"/>
            <w:r w:rsidRPr="001408D5">
              <w:t>-viii).</w:t>
            </w:r>
          </w:p>
        </w:tc>
      </w:tr>
      <w:tr w:rsidR="001F2246" w:rsidRPr="00D16F05" w14:paraId="6521EFDC" w14:textId="77777777" w:rsidTr="004E3199">
        <w:tblPrEx>
          <w:tblCellMar>
            <w:left w:w="108" w:type="dxa"/>
            <w:right w:w="108" w:type="dxa"/>
          </w:tblCellMar>
        </w:tblPrEx>
        <w:trPr>
          <w:gridBefore w:val="1"/>
          <w:wBefore w:w="7" w:type="dxa"/>
          <w:trHeight w:val="374"/>
          <w:jc w:val="center"/>
        </w:trPr>
        <w:tc>
          <w:tcPr>
            <w:tcW w:w="14004" w:type="dxa"/>
            <w:gridSpan w:val="4"/>
            <w:tcBorders>
              <w:top w:val="single" w:sz="4" w:space="0" w:color="auto"/>
              <w:bottom w:val="single" w:sz="4" w:space="0" w:color="000000" w:themeColor="text1"/>
            </w:tcBorders>
            <w:shd w:val="clear" w:color="auto" w:fill="F79548" w:themeFill="accent4"/>
          </w:tcPr>
          <w:p w14:paraId="5AE6D90F" w14:textId="77777777" w:rsidR="001F2246" w:rsidRPr="00D16F05" w:rsidRDefault="001F2246" w:rsidP="001F2246">
            <w:pPr>
              <w:pStyle w:val="HSAGTableText"/>
              <w:keepNext/>
              <w:contextualSpacing/>
              <w:rPr>
                <w:b/>
              </w:rPr>
            </w:pPr>
            <w:r>
              <w:rPr>
                <w:b/>
              </w:rPr>
              <w:t>PIHP Corrective Action Plan</w:t>
            </w:r>
          </w:p>
        </w:tc>
      </w:tr>
      <w:tr w:rsidR="001F2246" w:rsidRPr="00984D92" w14:paraId="1161F6AF" w14:textId="77777777" w:rsidTr="004E3199">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61FBBBD6" w14:textId="583F1767" w:rsidR="001F2246" w:rsidRPr="00984D92" w:rsidRDefault="001F2246" w:rsidP="001F2246">
            <w:pPr>
              <w:pStyle w:val="HSAGTableText"/>
              <w:contextualSpacing/>
              <w:rPr>
                <w:bCs/>
              </w:rPr>
            </w:pPr>
            <w:r>
              <w:rPr>
                <w:b/>
              </w:rPr>
              <w:t>Root Cause Analysis:</w:t>
            </w:r>
            <w:r w:rsidRPr="003F5489">
              <w:rPr>
                <w:bCs/>
              </w:rPr>
              <w:t xml:space="preserve"> </w:t>
            </w:r>
            <w:r w:rsidR="001829B8" w:rsidRPr="001829B8">
              <w:rPr>
                <w:bCs/>
              </w:rPr>
              <w:t>Staff turnover and lack of knowledge regarding NOPP.</w:t>
            </w:r>
          </w:p>
        </w:tc>
      </w:tr>
      <w:tr w:rsidR="001F2246" w:rsidRPr="00FC2C0F" w14:paraId="415949DC" w14:textId="77777777" w:rsidTr="004E3199">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7641474D" w14:textId="264C1AB7" w:rsidR="001F2246" w:rsidRPr="00FC2C0F" w:rsidRDefault="001829B8" w:rsidP="001F2246">
            <w:pPr>
              <w:pStyle w:val="HSAGTableText"/>
              <w:contextualSpacing/>
              <w:rPr>
                <w:bCs/>
              </w:rPr>
            </w:pPr>
            <w:r w:rsidRPr="001829B8">
              <w:rPr>
                <w:b/>
                <w:bCs/>
              </w:rPr>
              <w:t>PIHP Remediation Plan:</w:t>
            </w:r>
            <w:r w:rsidRPr="001829B8">
              <w:rPr>
                <w:b/>
              </w:rPr>
              <w:t xml:space="preserve"> </w:t>
            </w:r>
            <w:r w:rsidRPr="001829B8">
              <w:rPr>
                <w:bCs/>
              </w:rPr>
              <w:t xml:space="preserve">The NMRE will update the NOPP Policy with the most up to date and accurate information to ensure that the NMRE policy includes all required components, including the updates being made to 45 CFR 164.520. Furthermore, the updated NMRE policy will be shared with providers across the region and NMRE will ensure that providers are using the updated policy, along with having the updated information on any materials accessible to beneficiaries, including websites. Lastly, the NMRE will update </w:t>
            </w:r>
            <w:proofErr w:type="gramStart"/>
            <w:r>
              <w:rPr>
                <w:bCs/>
              </w:rPr>
              <w:t xml:space="preserve">the </w:t>
            </w:r>
            <w:r w:rsidRPr="001829B8">
              <w:rPr>
                <w:bCs/>
              </w:rPr>
              <w:t>Compliance</w:t>
            </w:r>
            <w:proofErr w:type="gramEnd"/>
            <w:r w:rsidRPr="001829B8">
              <w:rPr>
                <w:bCs/>
              </w:rPr>
              <w:t xml:space="preserve"> Training to ensure that the information being provided does include all required components, current and future.  </w:t>
            </w:r>
          </w:p>
        </w:tc>
      </w:tr>
      <w:tr w:rsidR="001F2246" w:rsidRPr="00FC2C0F" w14:paraId="7AE530B6" w14:textId="77777777" w:rsidTr="004E3199">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1973648D" w14:textId="6D650080" w:rsidR="001F2246" w:rsidRPr="00FC2C0F" w:rsidRDefault="001F2246" w:rsidP="001F2246">
            <w:pPr>
              <w:pStyle w:val="HSAGTableText"/>
              <w:contextualSpacing/>
              <w:rPr>
                <w:bCs/>
              </w:rPr>
            </w:pPr>
            <w:r w:rsidRPr="00B30934">
              <w:rPr>
                <w:b/>
              </w:rPr>
              <w:t>Responsible Individual(s):</w:t>
            </w:r>
            <w:r>
              <w:rPr>
                <w:bCs/>
              </w:rPr>
              <w:t xml:space="preserve"> </w:t>
            </w:r>
            <w:r w:rsidR="001829B8" w:rsidRPr="001829B8">
              <w:rPr>
                <w:bCs/>
              </w:rPr>
              <w:t>Brie Molaison, Compliance and Customer Services Officer</w:t>
            </w:r>
          </w:p>
        </w:tc>
      </w:tr>
      <w:tr w:rsidR="001F2246" w:rsidRPr="00FC2C0F" w14:paraId="76C8EACA" w14:textId="77777777" w:rsidTr="0065503C">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auto"/>
            </w:tcBorders>
          </w:tcPr>
          <w:p w14:paraId="458ABEDC" w14:textId="1BA1A7DD" w:rsidR="001F2246" w:rsidRPr="00FC2C0F" w:rsidRDefault="001F2246" w:rsidP="001F2246">
            <w:pPr>
              <w:pStyle w:val="HSAGTableText"/>
              <w:contextualSpacing/>
              <w:rPr>
                <w:bCs/>
              </w:rPr>
            </w:pPr>
            <w:r w:rsidRPr="00B30934">
              <w:rPr>
                <w:b/>
              </w:rPr>
              <w:t>Timeline:</w:t>
            </w:r>
            <w:r>
              <w:rPr>
                <w:bCs/>
              </w:rPr>
              <w:t xml:space="preserve"> </w:t>
            </w:r>
            <w:r w:rsidR="001829B8">
              <w:rPr>
                <w:bCs/>
              </w:rPr>
              <w:t>March 2026</w:t>
            </w:r>
          </w:p>
        </w:tc>
      </w:tr>
      <w:tr w:rsidR="001F2246" w14:paraId="52BF4AC4" w14:textId="77777777" w:rsidTr="00156F73">
        <w:tblPrEx>
          <w:tblCellMar>
            <w:left w:w="108" w:type="dxa"/>
            <w:right w:w="108" w:type="dxa"/>
          </w:tblCellMar>
        </w:tblPrEx>
        <w:trPr>
          <w:gridBefore w:val="1"/>
          <w:wBefore w:w="7" w:type="dxa"/>
          <w:trHeight w:val="374"/>
          <w:jc w:val="center"/>
        </w:trPr>
        <w:tc>
          <w:tcPr>
            <w:tcW w:w="10425" w:type="dxa"/>
            <w:gridSpan w:val="2"/>
            <w:tcBorders>
              <w:top w:val="single" w:sz="4" w:space="0" w:color="auto"/>
              <w:bottom w:val="single" w:sz="4" w:space="0" w:color="auto"/>
            </w:tcBorders>
            <w:shd w:val="clear" w:color="auto" w:fill="F2F2F2" w:themeFill="background1" w:themeFillShade="F2"/>
          </w:tcPr>
          <w:p w14:paraId="14E444AA" w14:textId="62929BCF" w:rsidR="001F2246" w:rsidRPr="00FC2C0F" w:rsidRDefault="001F2246" w:rsidP="000F0200">
            <w:pPr>
              <w:pStyle w:val="HSAGTableText"/>
              <w:keepNext/>
              <w:contextualSpacing/>
              <w:rPr>
                <w:bCs/>
              </w:rPr>
            </w:pPr>
            <w:r>
              <w:rPr>
                <w:b/>
              </w:rPr>
              <w:t>MDHHS/HSAG Response:</w:t>
            </w:r>
            <w:r>
              <w:rPr>
                <w:bCs/>
              </w:rPr>
              <w:t xml:space="preserve"> </w:t>
            </w:r>
            <w:r w:rsidR="00595A8D" w:rsidRPr="00595A8D">
              <w:rPr>
                <w:bCs/>
              </w:rPr>
              <w:t xml:space="preserve">The PIHP’s remediation plan is sufficient to ensure compliance with the requirements for this program area. While no additional information is required to be submitted at this time, the PIHP must proceed with </w:t>
            </w:r>
            <w:proofErr w:type="gramStart"/>
            <w:r w:rsidR="00595A8D" w:rsidRPr="00595A8D">
              <w:rPr>
                <w:bCs/>
              </w:rPr>
              <w:t>timely</w:t>
            </w:r>
            <w:proofErr w:type="gramEnd"/>
            <w:r w:rsidR="00595A8D" w:rsidRPr="00595A8D">
              <w:rPr>
                <w:bCs/>
              </w:rPr>
              <w:t xml:space="preserve"> implementation of its action plans. Please note, an </w:t>
            </w:r>
            <w:r w:rsidR="00595A8D" w:rsidRPr="00595A8D">
              <w:rPr>
                <w:bCs/>
                <w:i/>
                <w:iCs/>
              </w:rPr>
              <w:t>Accepted</w:t>
            </w:r>
            <w:r w:rsidR="00595A8D" w:rsidRPr="00595A8D">
              <w:rPr>
                <w:bCs/>
              </w:rPr>
              <w:t xml:space="preserve"> designation is not a guarantee of future compliance. Implementation of the PIHP’s action plans and demonstration of compliance will be assessed during future compliance review activities.</w:t>
            </w:r>
          </w:p>
        </w:tc>
        <w:tc>
          <w:tcPr>
            <w:tcW w:w="3579" w:type="dxa"/>
            <w:gridSpan w:val="2"/>
            <w:tcBorders>
              <w:top w:val="single" w:sz="4" w:space="0" w:color="auto"/>
              <w:bottom w:val="single" w:sz="4" w:space="0" w:color="auto"/>
            </w:tcBorders>
            <w:shd w:val="clear" w:color="auto" w:fill="F2F2F2" w:themeFill="background1" w:themeFillShade="F2"/>
          </w:tcPr>
          <w:p w14:paraId="142AFC36" w14:textId="1584C97C" w:rsidR="001F2246" w:rsidRPr="00C123EE" w:rsidRDefault="00000000" w:rsidP="001F2246">
            <w:pPr>
              <w:pStyle w:val="HSAGTableText"/>
              <w:contextualSpacing/>
              <w:rPr>
                <w:bCs/>
              </w:rPr>
            </w:pPr>
            <w:sdt>
              <w:sdtPr>
                <w:rPr>
                  <w:bCs/>
                </w:rPr>
                <w:id w:val="656428003"/>
                <w14:checkbox>
                  <w14:checked w14:val="1"/>
                  <w14:checkedState w14:val="2612" w14:font="MS Gothic"/>
                  <w14:uncheckedState w14:val="2610" w14:font="MS Gothic"/>
                </w14:checkbox>
              </w:sdtPr>
              <w:sdtContent>
                <w:r w:rsidR="00595A8D">
                  <w:rPr>
                    <w:rFonts w:ascii="MS Gothic" w:eastAsia="MS Gothic" w:hAnsi="MS Gothic" w:hint="eastAsia"/>
                    <w:bCs/>
                  </w:rPr>
                  <w:t>☒</w:t>
                </w:r>
              </w:sdtContent>
            </w:sdt>
            <w:r w:rsidR="001F2246" w:rsidRPr="00C123EE">
              <w:rPr>
                <w:bCs/>
              </w:rPr>
              <w:t xml:space="preserve"> Accepted</w:t>
            </w:r>
          </w:p>
          <w:p w14:paraId="501A5DE9" w14:textId="77777777" w:rsidR="001F2246" w:rsidRPr="00C123EE" w:rsidRDefault="00000000" w:rsidP="001F2246">
            <w:pPr>
              <w:pStyle w:val="HSAGTableText"/>
              <w:contextualSpacing/>
              <w:rPr>
                <w:bCs/>
              </w:rPr>
            </w:pPr>
            <w:sdt>
              <w:sdtPr>
                <w:rPr>
                  <w:bCs/>
                </w:rPr>
                <w:id w:val="-1851484069"/>
                <w14:checkbox>
                  <w14:checked w14:val="0"/>
                  <w14:checkedState w14:val="2612" w14:font="MS Gothic"/>
                  <w14:uncheckedState w14:val="2610" w14:font="MS Gothic"/>
                </w14:checkbox>
              </w:sdtPr>
              <w:sdtContent>
                <w:r w:rsidR="001F2246" w:rsidRPr="00C123EE">
                  <w:rPr>
                    <w:rFonts w:ascii="MS Gothic" w:eastAsia="MS Gothic" w:hAnsi="MS Gothic" w:hint="eastAsia"/>
                    <w:bCs/>
                  </w:rPr>
                  <w:t>☐</w:t>
                </w:r>
              </w:sdtContent>
            </w:sdt>
            <w:r w:rsidR="001F2246" w:rsidRPr="00C123EE">
              <w:rPr>
                <w:bCs/>
              </w:rPr>
              <w:t xml:space="preserve"> Accepted </w:t>
            </w:r>
            <w:r w:rsidR="001F2246">
              <w:rPr>
                <w:bCs/>
              </w:rPr>
              <w:t>W</w:t>
            </w:r>
            <w:r w:rsidR="001F2246" w:rsidRPr="00C123EE">
              <w:rPr>
                <w:bCs/>
              </w:rPr>
              <w:t>ith Recommendations</w:t>
            </w:r>
          </w:p>
          <w:p w14:paraId="1E9199A0" w14:textId="7FA995C7" w:rsidR="001F2246" w:rsidRDefault="00000000" w:rsidP="001F2246">
            <w:pPr>
              <w:pStyle w:val="HSAGTableText"/>
              <w:contextualSpacing/>
              <w:rPr>
                <w:b/>
              </w:rPr>
            </w:pPr>
            <w:sdt>
              <w:sdtPr>
                <w:rPr>
                  <w:bCs/>
                </w:rPr>
                <w:id w:val="707151983"/>
                <w14:checkbox>
                  <w14:checked w14:val="0"/>
                  <w14:checkedState w14:val="2612" w14:font="MS Gothic"/>
                  <w14:uncheckedState w14:val="2610" w14:font="MS Gothic"/>
                </w14:checkbox>
              </w:sdtPr>
              <w:sdtContent>
                <w:r w:rsidR="00595A8D">
                  <w:rPr>
                    <w:rFonts w:ascii="MS Gothic" w:eastAsia="MS Gothic" w:hAnsi="MS Gothic" w:hint="eastAsia"/>
                    <w:bCs/>
                  </w:rPr>
                  <w:t>☐</w:t>
                </w:r>
              </w:sdtContent>
            </w:sdt>
            <w:r w:rsidR="001F2246" w:rsidRPr="00C123EE">
              <w:rPr>
                <w:bCs/>
              </w:rPr>
              <w:t xml:space="preserve"> Not Accepted</w:t>
            </w:r>
          </w:p>
        </w:tc>
      </w:tr>
    </w:tbl>
    <w:p w14:paraId="677F01B2" w14:textId="76D595F3" w:rsidR="0065503C" w:rsidRPr="00916120" w:rsidRDefault="00F665E4" w:rsidP="0065503C">
      <w:pPr>
        <w:pStyle w:val="Heading2"/>
        <w:pageBreakBefore/>
        <w:rPr>
          <w:sz w:val="28"/>
        </w:rPr>
      </w:pPr>
      <w:r w:rsidRPr="001408D5">
        <w:rPr>
          <w:sz w:val="28"/>
        </w:rPr>
        <w:lastRenderedPageBreak/>
        <w:t>Standard IX—Grievance and Appeal Systems</w:t>
      </w:r>
    </w:p>
    <w:tbl>
      <w:tblPr>
        <w:tblW w:w="14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
        <w:gridCol w:w="6464"/>
        <w:gridCol w:w="3961"/>
        <w:gridCol w:w="2153"/>
        <w:gridCol w:w="1426"/>
      </w:tblGrid>
      <w:tr w:rsidR="0065503C" w:rsidRPr="00903F99" w14:paraId="6142C49B" w14:textId="77777777" w:rsidTr="00683305">
        <w:trPr>
          <w:trHeight w:val="374"/>
          <w:tblHeader/>
          <w:jc w:val="center"/>
        </w:trPr>
        <w:tc>
          <w:tcPr>
            <w:tcW w:w="14011" w:type="dxa"/>
            <w:gridSpan w:val="5"/>
            <w:shd w:val="clear" w:color="auto" w:fill="00549E"/>
            <w:vAlign w:val="center"/>
            <w:hideMark/>
          </w:tcPr>
          <w:p w14:paraId="030E93A5" w14:textId="63C8A47F" w:rsidR="0065503C" w:rsidRPr="00903F99" w:rsidRDefault="000D3850" w:rsidP="004E3199">
            <w:pPr>
              <w:pStyle w:val="HSAGTableHeading"/>
              <w:spacing w:before="0" w:after="0"/>
              <w:contextualSpacing/>
            </w:pPr>
            <w:r w:rsidRPr="001408D5">
              <w:t>Standard IX—Grievance and Appeal Systems</w:t>
            </w:r>
          </w:p>
        </w:tc>
      </w:tr>
      <w:tr w:rsidR="0065503C" w:rsidRPr="0026679F" w14:paraId="7E1A40A0" w14:textId="77777777" w:rsidTr="00683305">
        <w:trPr>
          <w:trHeight w:val="374"/>
          <w:tblHeader/>
          <w:jc w:val="center"/>
        </w:trPr>
        <w:tc>
          <w:tcPr>
            <w:tcW w:w="6471" w:type="dxa"/>
            <w:gridSpan w:val="2"/>
            <w:shd w:val="clear" w:color="auto" w:fill="DFECF7"/>
            <w:vAlign w:val="center"/>
            <w:hideMark/>
          </w:tcPr>
          <w:p w14:paraId="597D59D5" w14:textId="77777777" w:rsidR="0065503C" w:rsidRPr="0026679F" w:rsidRDefault="0065503C" w:rsidP="004E3199">
            <w:pPr>
              <w:pStyle w:val="HSAGTableHeading"/>
              <w:rPr>
                <w:color w:val="auto"/>
              </w:rPr>
            </w:pPr>
            <w:r w:rsidRPr="0026679F">
              <w:rPr>
                <w:color w:val="auto"/>
              </w:rPr>
              <w:t>Requirement</w:t>
            </w:r>
          </w:p>
        </w:tc>
        <w:tc>
          <w:tcPr>
            <w:tcW w:w="6114" w:type="dxa"/>
            <w:gridSpan w:val="2"/>
            <w:shd w:val="clear" w:color="auto" w:fill="DFECF7"/>
            <w:vAlign w:val="center"/>
            <w:hideMark/>
          </w:tcPr>
          <w:p w14:paraId="38EC23F6" w14:textId="77777777" w:rsidR="0065503C" w:rsidRPr="0026679F" w:rsidRDefault="0065503C" w:rsidP="004E3199">
            <w:pPr>
              <w:pStyle w:val="HSAGTableHeading"/>
              <w:rPr>
                <w:color w:val="auto"/>
              </w:rPr>
            </w:pPr>
            <w:r w:rsidRPr="0026679F">
              <w:rPr>
                <w:color w:val="auto"/>
              </w:rPr>
              <w:t>Supporting Documentation</w:t>
            </w:r>
          </w:p>
        </w:tc>
        <w:tc>
          <w:tcPr>
            <w:tcW w:w="1426" w:type="dxa"/>
            <w:shd w:val="clear" w:color="auto" w:fill="DFECF7"/>
            <w:vAlign w:val="center"/>
            <w:hideMark/>
          </w:tcPr>
          <w:p w14:paraId="562C5734" w14:textId="77777777" w:rsidR="0065503C" w:rsidRPr="0026679F" w:rsidRDefault="0065503C" w:rsidP="004E3199">
            <w:pPr>
              <w:pStyle w:val="HSAGTableHeading"/>
              <w:rPr>
                <w:color w:val="auto"/>
              </w:rPr>
            </w:pPr>
            <w:r w:rsidRPr="0026679F">
              <w:rPr>
                <w:color w:val="auto"/>
              </w:rPr>
              <w:t>Score</w:t>
            </w:r>
          </w:p>
        </w:tc>
      </w:tr>
      <w:tr w:rsidR="000D3850" w:rsidRPr="00903F99" w14:paraId="2C5D7F94" w14:textId="77777777" w:rsidTr="00683305">
        <w:trPr>
          <w:trHeight w:val="374"/>
          <w:jc w:val="center"/>
        </w:trPr>
        <w:tc>
          <w:tcPr>
            <w:tcW w:w="6471" w:type="dxa"/>
            <w:gridSpan w:val="2"/>
            <w:vMerge w:val="restart"/>
          </w:tcPr>
          <w:p w14:paraId="03411C8C" w14:textId="77777777" w:rsidR="000D3850" w:rsidRPr="001408D5" w:rsidRDefault="000D3850" w:rsidP="000D3850">
            <w:pPr>
              <w:pStyle w:val="ListNoNum"/>
              <w:rPr>
                <w:sz w:val="18"/>
                <w:szCs w:val="18"/>
              </w:rPr>
            </w:pPr>
            <w:r w:rsidRPr="001408D5">
              <w:rPr>
                <w:spacing w:val="-4"/>
              </w:rPr>
              <w:t>2.</w:t>
            </w:r>
            <w:r w:rsidRPr="001408D5">
              <w:rPr>
                <w:spacing w:val="-4"/>
              </w:rPr>
              <w:tab/>
            </w:r>
            <w:r w:rsidRPr="001408D5">
              <w:t>A member may file a grievance with the PIHP at any time.</w:t>
            </w:r>
          </w:p>
          <w:p w14:paraId="73F0CD4B" w14:textId="77777777" w:rsidR="000D3850" w:rsidRPr="001408D5" w:rsidRDefault="000D3850" w:rsidP="000D3850">
            <w:pPr>
              <w:pStyle w:val="ListNoNum2"/>
            </w:pPr>
            <w:r w:rsidRPr="001408D5">
              <w:t>a</w:t>
            </w:r>
            <w:proofErr w:type="gramStart"/>
            <w:r w:rsidRPr="001408D5">
              <w:t xml:space="preserve">. </w:t>
            </w:r>
            <w:r w:rsidRPr="001408D5">
              <w:tab/>
              <w:t>With</w:t>
            </w:r>
            <w:proofErr w:type="gramEnd"/>
            <w:r w:rsidRPr="001408D5">
              <w:t xml:space="preserve"> the written consent of the member, a provider or an authorized representative may file a grievance on behalf of a member.</w:t>
            </w:r>
          </w:p>
          <w:p w14:paraId="7800BD6A" w14:textId="77777777" w:rsidR="000D3850" w:rsidRPr="001408D5" w:rsidRDefault="000D3850" w:rsidP="000D3850">
            <w:pPr>
              <w:pStyle w:val="HSAGTableContracttext"/>
            </w:pPr>
          </w:p>
          <w:p w14:paraId="4F6F9680" w14:textId="77777777" w:rsidR="000D3850" w:rsidRPr="001408D5" w:rsidRDefault="000D3850" w:rsidP="000D3850">
            <w:pPr>
              <w:pStyle w:val="HSAGTableContracttext"/>
            </w:pPr>
            <w:r w:rsidRPr="001408D5">
              <w:t>42 CFR §438.228</w:t>
            </w:r>
          </w:p>
          <w:p w14:paraId="06ED843F" w14:textId="77777777" w:rsidR="000D3850" w:rsidRPr="001408D5" w:rsidRDefault="000D3850" w:rsidP="000D3850">
            <w:pPr>
              <w:pStyle w:val="HSAGTableContracttext"/>
            </w:pPr>
            <w:r w:rsidRPr="001408D5">
              <w:t>42 CFR §438.402(c)(1)(ii)</w:t>
            </w:r>
          </w:p>
          <w:p w14:paraId="60F70CE6" w14:textId="77777777" w:rsidR="000D3850" w:rsidRPr="001408D5" w:rsidRDefault="000D3850" w:rsidP="000D3850">
            <w:pPr>
              <w:pStyle w:val="HSAGTableContracttext"/>
            </w:pPr>
            <w:r w:rsidRPr="001408D5">
              <w:t>42 CFR §438.402(c)(2)(</w:t>
            </w:r>
            <w:proofErr w:type="spellStart"/>
            <w:r w:rsidRPr="001408D5">
              <w:t>i</w:t>
            </w:r>
            <w:proofErr w:type="spellEnd"/>
            <w:r w:rsidRPr="001408D5">
              <w:t>)</w:t>
            </w:r>
          </w:p>
          <w:p w14:paraId="00B6AD3F" w14:textId="77777777" w:rsidR="000D3850" w:rsidRPr="001408D5" w:rsidRDefault="000D3850" w:rsidP="000D3850">
            <w:pPr>
              <w:pStyle w:val="HSAGTableContracttext"/>
            </w:pPr>
            <w:r w:rsidRPr="001408D5">
              <w:t>42 CFR §457.1260(b)(1)</w:t>
            </w:r>
          </w:p>
          <w:p w14:paraId="7B210D9E" w14:textId="77777777" w:rsidR="000D3850" w:rsidRPr="001408D5" w:rsidRDefault="000D3850" w:rsidP="000D3850">
            <w:pPr>
              <w:pStyle w:val="HSAGTableContracttext"/>
            </w:pPr>
            <w:r w:rsidRPr="001408D5">
              <w:t>42 CFR §457.1260(b)(3)</w:t>
            </w:r>
          </w:p>
          <w:p w14:paraId="3E146E65" w14:textId="77777777" w:rsidR="000D3850" w:rsidRPr="001408D5" w:rsidRDefault="000D3850" w:rsidP="000D3850">
            <w:pPr>
              <w:pStyle w:val="HSAGTableContracttext"/>
            </w:pPr>
            <w:r w:rsidRPr="001408D5">
              <w:t>Contract Schedule A—M(1)(d)</w:t>
            </w:r>
          </w:p>
          <w:p w14:paraId="30DBF1C8" w14:textId="77777777" w:rsidR="000D3850" w:rsidRPr="001408D5" w:rsidRDefault="000D3850" w:rsidP="000D3850">
            <w:pPr>
              <w:pStyle w:val="HSAGTableContracttext"/>
            </w:pPr>
            <w:r w:rsidRPr="001408D5">
              <w:t>Appeal and Grievance Resolution Processes Technical Requirement—III</w:t>
            </w:r>
          </w:p>
          <w:p w14:paraId="502E390E" w14:textId="00D75E60" w:rsidR="000D3850" w:rsidRPr="00903F99" w:rsidRDefault="000D3850" w:rsidP="000D3850">
            <w:pPr>
              <w:pStyle w:val="HSAGTableContracttext"/>
              <w:keepNext/>
              <w:spacing w:before="0" w:after="0"/>
              <w:ind w:left="1440"/>
              <w:contextualSpacing/>
              <w:rPr>
                <w:i/>
                <w:szCs w:val="18"/>
              </w:rPr>
            </w:pPr>
            <w:r w:rsidRPr="001408D5">
              <w:t>Appeal and Grievance Resolution Processes Technical Requirement—VIII(B)(2)</w:t>
            </w:r>
          </w:p>
        </w:tc>
        <w:tc>
          <w:tcPr>
            <w:tcW w:w="6114" w:type="dxa"/>
            <w:gridSpan w:val="2"/>
            <w:shd w:val="clear" w:color="auto" w:fill="FFFFFF" w:themeFill="background1"/>
          </w:tcPr>
          <w:p w14:paraId="614C3EBF" w14:textId="77777777" w:rsidR="000D3850" w:rsidRPr="007D3A55" w:rsidRDefault="000D3850" w:rsidP="000D3850">
            <w:pPr>
              <w:pStyle w:val="HSAGTableText"/>
              <w:contextualSpacing/>
              <w:rPr>
                <w:b/>
                <w:bCs/>
              </w:rPr>
            </w:pPr>
            <w:r w:rsidRPr="007D3A55">
              <w:rPr>
                <w:b/>
                <w:bCs/>
              </w:rPr>
              <w:t>HSAG Required Evidence:</w:t>
            </w:r>
          </w:p>
          <w:p w14:paraId="4510163B" w14:textId="77777777" w:rsidR="000D3850" w:rsidRPr="001408D5" w:rsidRDefault="000D3850" w:rsidP="00595A8D">
            <w:pPr>
              <w:pStyle w:val="HSAGTableText"/>
              <w:numPr>
                <w:ilvl w:val="0"/>
                <w:numId w:val="19"/>
              </w:numPr>
              <w:contextualSpacing/>
            </w:pPr>
            <w:r w:rsidRPr="001408D5">
              <w:t>Policies and procedures</w:t>
            </w:r>
          </w:p>
          <w:p w14:paraId="1531A982" w14:textId="77777777" w:rsidR="000D3850" w:rsidRPr="001408D5" w:rsidRDefault="000D3850" w:rsidP="00595A8D">
            <w:pPr>
              <w:pStyle w:val="HSAGTableText"/>
              <w:numPr>
                <w:ilvl w:val="0"/>
                <w:numId w:val="19"/>
              </w:numPr>
              <w:contextualSpacing/>
            </w:pPr>
            <w:r w:rsidRPr="001408D5">
              <w:t>Member materials, such as the member handbook</w:t>
            </w:r>
          </w:p>
          <w:p w14:paraId="2D408C10" w14:textId="77777777" w:rsidR="000D3850" w:rsidRPr="001408D5" w:rsidRDefault="000D3850" w:rsidP="00595A8D">
            <w:pPr>
              <w:pStyle w:val="HSAGTableText"/>
              <w:numPr>
                <w:ilvl w:val="0"/>
                <w:numId w:val="19"/>
              </w:numPr>
              <w:contextualSpacing/>
            </w:pPr>
            <w:r w:rsidRPr="001408D5">
              <w:t>Member consent form template</w:t>
            </w:r>
          </w:p>
          <w:p w14:paraId="2049FF42" w14:textId="77777777" w:rsidR="000D3850" w:rsidRPr="001408D5" w:rsidRDefault="000D3850" w:rsidP="00595A8D">
            <w:pPr>
              <w:pStyle w:val="HSAGTableText"/>
              <w:numPr>
                <w:ilvl w:val="0"/>
                <w:numId w:val="19"/>
              </w:numPr>
              <w:contextualSpacing/>
            </w:pPr>
            <w:r w:rsidRPr="001408D5">
              <w:t>System screenshot of the field where the individual who filed the grievance is documented</w:t>
            </w:r>
          </w:p>
          <w:p w14:paraId="51D2385B" w14:textId="77777777" w:rsidR="000D3850" w:rsidRPr="001408D5" w:rsidRDefault="000D3850" w:rsidP="00595A8D">
            <w:pPr>
              <w:pStyle w:val="HSAGTableText"/>
              <w:numPr>
                <w:ilvl w:val="0"/>
                <w:numId w:val="19"/>
              </w:numPr>
              <w:contextualSpacing/>
            </w:pPr>
            <w:r w:rsidRPr="001408D5">
              <w:t>System screenshot of the field where written consent of the member is documented</w:t>
            </w:r>
          </w:p>
          <w:p w14:paraId="1EDB396B" w14:textId="77777777" w:rsidR="000F0200" w:rsidRDefault="000D3850" w:rsidP="00595A8D">
            <w:pPr>
              <w:pStyle w:val="HSAGTableText"/>
              <w:numPr>
                <w:ilvl w:val="0"/>
                <w:numId w:val="19"/>
              </w:numPr>
              <w:contextualSpacing/>
            </w:pPr>
            <w:r w:rsidRPr="001408D5">
              <w:t>Three case examples of a grievance filed by someone other than the member, including the member’s written consen</w:t>
            </w:r>
            <w:r w:rsidR="000F0200">
              <w:t>t</w:t>
            </w:r>
          </w:p>
          <w:p w14:paraId="184F9C8A" w14:textId="7F84A5D8" w:rsidR="000D3850" w:rsidRPr="00903F99" w:rsidRDefault="000D3850" w:rsidP="00595A8D">
            <w:pPr>
              <w:pStyle w:val="HSAGTableText"/>
              <w:numPr>
                <w:ilvl w:val="0"/>
                <w:numId w:val="19"/>
              </w:numPr>
              <w:contextualSpacing/>
            </w:pPr>
            <w:r w:rsidRPr="001408D5">
              <w:t>HSAG will also use the results of the Grievances File Review</w:t>
            </w:r>
          </w:p>
        </w:tc>
        <w:tc>
          <w:tcPr>
            <w:tcW w:w="1426" w:type="dxa"/>
            <w:vMerge w:val="restart"/>
            <w:shd w:val="clear" w:color="auto" w:fill="FFFFFF" w:themeFill="background1"/>
          </w:tcPr>
          <w:p w14:paraId="6E363A30" w14:textId="77777777" w:rsidR="000D3850" w:rsidRPr="001408D5" w:rsidRDefault="000D3850" w:rsidP="000D3850">
            <w:pPr>
              <w:spacing w:before="60" w:after="0"/>
              <w:contextualSpacing/>
              <w:rPr>
                <w:sz w:val="22"/>
              </w:rPr>
            </w:pPr>
            <w:r w:rsidRPr="001408D5">
              <w:rPr>
                <w:rFonts w:ascii="MS Gothic" w:eastAsia="MS Gothic" w:hAnsi="MS Gothic" w:hint="eastAsia"/>
                <w:sz w:val="22"/>
              </w:rPr>
              <w:t>☐</w:t>
            </w:r>
            <w:r w:rsidRPr="001408D5">
              <w:rPr>
                <w:sz w:val="22"/>
              </w:rPr>
              <w:t xml:space="preserve"> Met</w:t>
            </w:r>
          </w:p>
          <w:p w14:paraId="31632512" w14:textId="77777777" w:rsidR="000D3850" w:rsidRPr="001408D5" w:rsidRDefault="00000000" w:rsidP="000D3850">
            <w:pPr>
              <w:spacing w:before="60" w:after="0"/>
              <w:contextualSpacing/>
              <w:rPr>
                <w:sz w:val="22"/>
              </w:rPr>
            </w:pPr>
            <w:sdt>
              <w:sdtPr>
                <w:rPr>
                  <w:rFonts w:ascii="MS Gothic" w:eastAsia="MS Gothic" w:hAnsi="MS Gothic" w:hint="eastAsia"/>
                  <w:sz w:val="22"/>
                </w:rPr>
                <w:id w:val="285777334"/>
                <w14:checkbox>
                  <w14:checked w14:val="1"/>
                  <w14:checkedState w14:val="2612" w14:font="MS Gothic"/>
                  <w14:uncheckedState w14:val="2610" w14:font="MS Gothic"/>
                </w14:checkbox>
              </w:sdtPr>
              <w:sdtContent>
                <w:r w:rsidR="000D3850" w:rsidRPr="001408D5">
                  <w:rPr>
                    <w:rFonts w:ascii="MS Gothic" w:eastAsia="MS Gothic" w:hAnsi="MS Gothic" w:hint="eastAsia"/>
                    <w:sz w:val="22"/>
                  </w:rPr>
                  <w:t>☒</w:t>
                </w:r>
              </w:sdtContent>
            </w:sdt>
            <w:r w:rsidR="000D3850" w:rsidRPr="001408D5">
              <w:rPr>
                <w:sz w:val="22"/>
              </w:rPr>
              <w:t xml:space="preserve"> Not Met</w:t>
            </w:r>
          </w:p>
          <w:p w14:paraId="4391F117" w14:textId="77777777" w:rsidR="000D3850" w:rsidRPr="001408D5" w:rsidRDefault="000D3850" w:rsidP="000D3850">
            <w:pPr>
              <w:spacing w:before="60" w:after="0"/>
              <w:contextualSpacing/>
              <w:rPr>
                <w:sz w:val="22"/>
              </w:rPr>
            </w:pPr>
            <w:r w:rsidRPr="001408D5">
              <w:rPr>
                <w:rFonts w:ascii="MS Gothic" w:eastAsia="MS Gothic" w:hAnsi="MS Gothic" w:hint="eastAsia"/>
                <w:sz w:val="22"/>
              </w:rPr>
              <w:t>☐</w:t>
            </w:r>
            <w:r w:rsidRPr="001408D5">
              <w:rPr>
                <w:sz w:val="22"/>
              </w:rPr>
              <w:t xml:space="preserve"> NA</w:t>
            </w:r>
          </w:p>
          <w:p w14:paraId="4135146D" w14:textId="77777777" w:rsidR="000D3850" w:rsidRPr="00903F99" w:rsidRDefault="000D3850" w:rsidP="000D3850">
            <w:pPr>
              <w:spacing w:before="0" w:after="0"/>
              <w:contextualSpacing/>
              <w:rPr>
                <w:sz w:val="22"/>
              </w:rPr>
            </w:pPr>
          </w:p>
        </w:tc>
      </w:tr>
      <w:tr w:rsidR="000D3850" w:rsidRPr="00903F99" w14:paraId="49D9E6EA" w14:textId="77777777" w:rsidTr="00683305">
        <w:trPr>
          <w:trHeight w:val="374"/>
          <w:jc w:val="center"/>
        </w:trPr>
        <w:tc>
          <w:tcPr>
            <w:tcW w:w="6471" w:type="dxa"/>
            <w:gridSpan w:val="2"/>
            <w:vMerge/>
          </w:tcPr>
          <w:p w14:paraId="19F40C69" w14:textId="77777777" w:rsidR="000D3850" w:rsidRPr="00903F99" w:rsidRDefault="000D3850" w:rsidP="00595A8D">
            <w:pPr>
              <w:pStyle w:val="HSAGNumbers"/>
              <w:numPr>
                <w:ilvl w:val="0"/>
                <w:numId w:val="16"/>
              </w:numPr>
              <w:spacing w:before="0" w:after="0"/>
              <w:contextualSpacing/>
            </w:pPr>
          </w:p>
        </w:tc>
        <w:tc>
          <w:tcPr>
            <w:tcW w:w="6114" w:type="dxa"/>
            <w:gridSpan w:val="2"/>
            <w:shd w:val="clear" w:color="auto" w:fill="FFFFFF" w:themeFill="background1"/>
          </w:tcPr>
          <w:p w14:paraId="50DAD91E" w14:textId="77777777" w:rsidR="000D3850" w:rsidRPr="001408D5" w:rsidRDefault="000D3850" w:rsidP="000D3850">
            <w:pPr>
              <w:pStyle w:val="HSAGTableText"/>
              <w:contextualSpacing/>
              <w:rPr>
                <w:b/>
                <w:bCs/>
              </w:rPr>
            </w:pPr>
            <w:r w:rsidRPr="001408D5">
              <w:rPr>
                <w:b/>
                <w:bCs/>
              </w:rPr>
              <w:t>Evidence as Submitted by the PIHP:</w:t>
            </w:r>
          </w:p>
          <w:p w14:paraId="76C844F6" w14:textId="77777777" w:rsidR="000D3850" w:rsidRPr="001408D5" w:rsidRDefault="000D3850" w:rsidP="00595A8D">
            <w:pPr>
              <w:pStyle w:val="HSAGTableText"/>
              <w:numPr>
                <w:ilvl w:val="0"/>
                <w:numId w:val="24"/>
              </w:numPr>
              <w:contextualSpacing/>
            </w:pPr>
            <w:r w:rsidRPr="001408D5">
              <w:t>S9_E2_Case Example 1_Written Consent</w:t>
            </w:r>
          </w:p>
          <w:p w14:paraId="7C0A953D" w14:textId="77777777" w:rsidR="000D3850" w:rsidRPr="001408D5" w:rsidRDefault="000D3850" w:rsidP="00595A8D">
            <w:pPr>
              <w:pStyle w:val="HSAGTableText"/>
              <w:numPr>
                <w:ilvl w:val="0"/>
                <w:numId w:val="24"/>
              </w:numPr>
              <w:contextualSpacing/>
            </w:pPr>
            <w:r w:rsidRPr="001408D5">
              <w:t>S9_E2_Form Written Consent</w:t>
            </w:r>
          </w:p>
          <w:p w14:paraId="3D0C3960" w14:textId="77777777" w:rsidR="000D3850" w:rsidRPr="001408D5" w:rsidRDefault="000D3850" w:rsidP="00595A8D">
            <w:pPr>
              <w:pStyle w:val="HSAGTableText"/>
              <w:numPr>
                <w:ilvl w:val="0"/>
                <w:numId w:val="24"/>
              </w:numPr>
              <w:contextualSpacing/>
            </w:pPr>
            <w:r w:rsidRPr="001408D5">
              <w:t xml:space="preserve">S9_E2_Grievance and Appeals </w:t>
            </w:r>
            <w:proofErr w:type="spellStart"/>
            <w:r w:rsidRPr="001408D5">
              <w:t>Policy_written</w:t>
            </w:r>
            <w:proofErr w:type="spellEnd"/>
            <w:r w:rsidRPr="001408D5">
              <w:t xml:space="preserve"> </w:t>
            </w:r>
            <w:proofErr w:type="spellStart"/>
            <w:r w:rsidRPr="001408D5">
              <w:t>consent_page</w:t>
            </w:r>
            <w:proofErr w:type="spellEnd"/>
            <w:r w:rsidRPr="001408D5">
              <w:t xml:space="preserve"> 12</w:t>
            </w:r>
          </w:p>
          <w:p w14:paraId="1901E73A" w14:textId="77777777" w:rsidR="000D3850" w:rsidRPr="001408D5" w:rsidRDefault="000D3850" w:rsidP="00595A8D">
            <w:pPr>
              <w:pStyle w:val="HSAGTableText"/>
              <w:numPr>
                <w:ilvl w:val="0"/>
                <w:numId w:val="24"/>
              </w:numPr>
              <w:contextualSpacing/>
            </w:pPr>
            <w:r w:rsidRPr="001408D5">
              <w:t xml:space="preserve">S9_E2_Grievance and Appeals </w:t>
            </w:r>
            <w:proofErr w:type="spellStart"/>
            <w:r w:rsidRPr="001408D5">
              <w:t>procedure_page</w:t>
            </w:r>
            <w:proofErr w:type="spellEnd"/>
            <w:r w:rsidRPr="001408D5">
              <w:t xml:space="preserve"> 1</w:t>
            </w:r>
          </w:p>
          <w:p w14:paraId="05A6971A" w14:textId="77777777" w:rsidR="00402800" w:rsidRDefault="000D3850" w:rsidP="00595A8D">
            <w:pPr>
              <w:pStyle w:val="HSAGTableText"/>
              <w:numPr>
                <w:ilvl w:val="0"/>
                <w:numId w:val="24"/>
              </w:numPr>
              <w:contextualSpacing/>
            </w:pPr>
            <w:r w:rsidRPr="001408D5">
              <w:t xml:space="preserve">S9_E2_Guide to </w:t>
            </w:r>
            <w:proofErr w:type="spellStart"/>
            <w:r w:rsidRPr="001408D5">
              <w:t>Services_page</w:t>
            </w:r>
            <w:proofErr w:type="spellEnd"/>
            <w:r w:rsidRPr="001408D5">
              <w:t xml:space="preserve"> 15</w:t>
            </w:r>
          </w:p>
          <w:p w14:paraId="428CE219" w14:textId="2E8028B6" w:rsidR="000D3850" w:rsidRPr="00903F99" w:rsidRDefault="000D3850" w:rsidP="00595A8D">
            <w:pPr>
              <w:pStyle w:val="HSAGTableText"/>
              <w:numPr>
                <w:ilvl w:val="0"/>
                <w:numId w:val="24"/>
              </w:numPr>
              <w:contextualSpacing/>
            </w:pPr>
            <w:r w:rsidRPr="001408D5">
              <w:t xml:space="preserve">S9_E2_Screenshot Member Verification </w:t>
            </w:r>
          </w:p>
        </w:tc>
        <w:tc>
          <w:tcPr>
            <w:tcW w:w="1426" w:type="dxa"/>
            <w:vMerge/>
            <w:shd w:val="clear" w:color="auto" w:fill="FFFFFF" w:themeFill="background1"/>
          </w:tcPr>
          <w:p w14:paraId="31CABDA3" w14:textId="77777777" w:rsidR="000D3850" w:rsidRPr="00903F99" w:rsidRDefault="000D3850" w:rsidP="000D3850">
            <w:pPr>
              <w:spacing w:before="0" w:after="0"/>
              <w:contextualSpacing/>
              <w:rPr>
                <w:sz w:val="22"/>
              </w:rPr>
            </w:pPr>
          </w:p>
        </w:tc>
      </w:tr>
      <w:tr w:rsidR="000D3850" w:rsidRPr="00903F99" w14:paraId="0B0FE735" w14:textId="77777777" w:rsidTr="00683305">
        <w:trPr>
          <w:trHeight w:val="374"/>
          <w:jc w:val="center"/>
        </w:trPr>
        <w:tc>
          <w:tcPr>
            <w:tcW w:w="14011" w:type="dxa"/>
            <w:gridSpan w:val="5"/>
            <w:vAlign w:val="center"/>
          </w:tcPr>
          <w:p w14:paraId="477C6A89" w14:textId="58270FDC" w:rsidR="000D3850" w:rsidRPr="00903F99" w:rsidRDefault="000D3850" w:rsidP="000D3850">
            <w:pPr>
              <w:pStyle w:val="HSAGTableText"/>
              <w:spacing w:before="0" w:after="0"/>
            </w:pPr>
            <w:r w:rsidRPr="001408D5">
              <w:rPr>
                <w:b/>
              </w:rPr>
              <w:t>PIHP Description of Process:</w:t>
            </w:r>
            <w:r w:rsidRPr="001408D5">
              <w:t xml:space="preserve"> If someone other than the beneficiary would like to file a grievance, written consent is obtained by the beneficiary for the person to file a grievance on the beneficiary’s behalf.   </w:t>
            </w:r>
          </w:p>
        </w:tc>
      </w:tr>
      <w:tr w:rsidR="000D3850" w:rsidRPr="0026679F" w14:paraId="4AF0491C" w14:textId="77777777" w:rsidTr="00683305">
        <w:trPr>
          <w:trHeight w:val="374"/>
          <w:jc w:val="center"/>
        </w:trPr>
        <w:tc>
          <w:tcPr>
            <w:tcW w:w="14011" w:type="dxa"/>
            <w:gridSpan w:val="5"/>
            <w:tcBorders>
              <w:bottom w:val="single" w:sz="4" w:space="0" w:color="000000"/>
            </w:tcBorders>
            <w:vAlign w:val="center"/>
          </w:tcPr>
          <w:p w14:paraId="6D985E4F" w14:textId="77777777" w:rsidR="000D3850" w:rsidRPr="001408D5" w:rsidRDefault="000D3850" w:rsidP="000D3850">
            <w:pPr>
              <w:pStyle w:val="HSAGTableText"/>
              <w:rPr>
                <w:color w:val="auto"/>
              </w:rPr>
            </w:pPr>
            <w:r w:rsidRPr="001408D5">
              <w:rPr>
                <w:b/>
              </w:rPr>
              <w:t>HSAG Findings:</w:t>
            </w:r>
            <w:r w:rsidRPr="001408D5">
              <w:t xml:space="preserve"> The case file review identified two records in which the grievance was filed by someone other than the adult member. During the site review, HSAG requested evidence of guardianship for both records. After the site review, the PIHP submitted the same screenshots that were already provided. For one record (Sample 2), the screenshot indicated that the authorized representative verification was verified via “EMR/EHR.” For the second record (Sample 5), the screenshot indicated that the individual was the member’s guardian, but the authorized representative fields were blank. The PIHP did not submit </w:t>
            </w:r>
            <w:r w:rsidRPr="001408D5">
              <w:rPr>
                <w:color w:val="auto"/>
              </w:rPr>
              <w:t xml:space="preserve">evidence of guardianship as requested. The PIHP also submitted two additional case examples after the site review. One example was a grievance filed by the parent of a minor, which does not require the member’s written consent, and therefore, is not applicable to the case examples </w:t>
            </w:r>
            <w:r w:rsidRPr="001408D5">
              <w:rPr>
                <w:color w:val="auto"/>
              </w:rPr>
              <w:lastRenderedPageBreak/>
              <w:t>requested. For the second example, the grievance was filed by the guardian and while screenshots of the authorized representative verification fields were submitted, evidence of guardianship was not provided as requested.</w:t>
            </w:r>
          </w:p>
          <w:p w14:paraId="7C25A322" w14:textId="0966F26A" w:rsidR="000D3850" w:rsidRPr="0026679F" w:rsidRDefault="000D3850" w:rsidP="000D3850">
            <w:pPr>
              <w:pStyle w:val="HSAGTableText"/>
              <w:spacing w:before="0"/>
            </w:pPr>
            <w:r w:rsidRPr="001408D5">
              <w:rPr>
                <w:b/>
                <w:bCs/>
                <w:color w:val="auto"/>
              </w:rPr>
              <w:t>Recommendations:</w:t>
            </w:r>
            <w:r w:rsidRPr="001408D5">
              <w:rPr>
                <w:color w:val="auto"/>
              </w:rPr>
              <w:t xml:space="preserve"> The member handbook included the following language: “A provider may file a grievance on your behalf (with verified written consent by you/your legal representative).” However, any individual (provider, family member, friend, etc.) is required to obtain the member’s written consent to file a grievance on the member’s behalf, not just providers. As such, HSAG recommends that the PIHP update the member handbook accordingly. Additionally, while the PIHP submitted a consent form template, the PIHP explained that this form is specific to the PIHP. HSAG recommends that the PIHP </w:t>
            </w:r>
            <w:proofErr w:type="gramStart"/>
            <w:r w:rsidRPr="001408D5">
              <w:rPr>
                <w:color w:val="auto"/>
              </w:rPr>
              <w:t>ensure</w:t>
            </w:r>
            <w:proofErr w:type="gramEnd"/>
            <w:r w:rsidRPr="001408D5">
              <w:rPr>
                <w:color w:val="auto"/>
              </w:rPr>
              <w:t xml:space="preserve"> its delegates have appropriate processes, including a consent template, to obtain the written consent of the member when an individual (e.g., family member, friend) files a grievance on the member’s behalf. Further, if the PIHP receives a grievance from an individual who is not an authorized representative, the PIHP may contact the member directly and if the member verbally confirms that the member is requesting to file the grievance, the grievance should be documented as a member-initiated oral grievance. In this instance, all communication (e.g., acknowledgement and resolution notices) must occur with the member and not the individual who initially filed the grievance as the individual can only act as a representative of the member with the written consent of the member. If the PIHP does not demonstrate adequate implementation of HSAG’s recommendations during future compliance reviews, the PIHP may receive a </w:t>
            </w:r>
            <w:r w:rsidRPr="001408D5">
              <w:rPr>
                <w:i/>
                <w:iCs/>
                <w:color w:val="auto"/>
              </w:rPr>
              <w:t>Not Met</w:t>
            </w:r>
            <w:r w:rsidRPr="001408D5">
              <w:rPr>
                <w:color w:val="auto"/>
              </w:rPr>
              <w:t xml:space="preserve"> score.</w:t>
            </w:r>
          </w:p>
        </w:tc>
      </w:tr>
      <w:tr w:rsidR="000D3850" w:rsidRPr="0026679F" w14:paraId="2C8C26A4" w14:textId="77777777" w:rsidTr="00683305">
        <w:trPr>
          <w:trHeight w:val="374"/>
          <w:jc w:val="center"/>
        </w:trPr>
        <w:tc>
          <w:tcPr>
            <w:tcW w:w="14011" w:type="dxa"/>
            <w:gridSpan w:val="5"/>
            <w:tcBorders>
              <w:top w:val="single" w:sz="4" w:space="0" w:color="000000"/>
              <w:bottom w:val="single" w:sz="4" w:space="0" w:color="auto"/>
            </w:tcBorders>
            <w:vAlign w:val="center"/>
          </w:tcPr>
          <w:p w14:paraId="7F319774" w14:textId="4D6E8DC5" w:rsidR="000D3850" w:rsidRPr="0026679F" w:rsidRDefault="000D3850" w:rsidP="000D3850">
            <w:pPr>
              <w:pStyle w:val="HSAGTableText"/>
              <w:rPr>
                <w:b/>
              </w:rPr>
            </w:pPr>
            <w:r w:rsidRPr="001408D5">
              <w:rPr>
                <w:b/>
              </w:rPr>
              <w:lastRenderedPageBreak/>
              <w:t>Required Actions:</w:t>
            </w:r>
            <w:r w:rsidRPr="001408D5">
              <w:t xml:space="preserve"> The PIHP must verify an authorized representative (e.g., guardianship, written consent of the member) when an individual files a grievance on behalf of the member. This verification must be documented in each applicable grievance record.</w:t>
            </w:r>
          </w:p>
        </w:tc>
      </w:tr>
      <w:tr w:rsidR="000D3850" w:rsidRPr="00D16F05" w14:paraId="508B5A19" w14:textId="77777777" w:rsidTr="00683305">
        <w:tblPrEx>
          <w:tblCellMar>
            <w:left w:w="108" w:type="dxa"/>
            <w:right w:w="108" w:type="dxa"/>
          </w:tblCellMar>
        </w:tblPrEx>
        <w:trPr>
          <w:trHeight w:val="374"/>
          <w:jc w:val="center"/>
        </w:trPr>
        <w:tc>
          <w:tcPr>
            <w:tcW w:w="14011" w:type="dxa"/>
            <w:gridSpan w:val="5"/>
            <w:tcBorders>
              <w:top w:val="single" w:sz="4" w:space="0" w:color="auto"/>
              <w:bottom w:val="single" w:sz="4" w:space="0" w:color="000000" w:themeColor="text1"/>
            </w:tcBorders>
            <w:shd w:val="clear" w:color="auto" w:fill="F79548" w:themeFill="accent4"/>
          </w:tcPr>
          <w:p w14:paraId="17B331D4" w14:textId="77777777" w:rsidR="000D3850" w:rsidRPr="00D16F05" w:rsidRDefault="000D3850" w:rsidP="000D3850">
            <w:pPr>
              <w:pStyle w:val="HSAGTableText"/>
              <w:keepNext/>
              <w:contextualSpacing/>
              <w:rPr>
                <w:b/>
              </w:rPr>
            </w:pPr>
            <w:r>
              <w:rPr>
                <w:b/>
              </w:rPr>
              <w:t>PIHP Corrective Action Plan</w:t>
            </w:r>
          </w:p>
        </w:tc>
      </w:tr>
      <w:tr w:rsidR="000D3850" w:rsidRPr="00984D92" w14:paraId="2A21E2BD" w14:textId="77777777" w:rsidTr="00683305">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0D0C40E2" w14:textId="65FDFE89" w:rsidR="000D3850" w:rsidRPr="00984D92" w:rsidRDefault="000D3850" w:rsidP="000D3850">
            <w:pPr>
              <w:pStyle w:val="HSAGTableText"/>
              <w:contextualSpacing/>
              <w:rPr>
                <w:bCs/>
              </w:rPr>
            </w:pPr>
            <w:r>
              <w:rPr>
                <w:b/>
              </w:rPr>
              <w:t>Root Cause Analysis:</w:t>
            </w:r>
            <w:r w:rsidRPr="003F5489">
              <w:rPr>
                <w:bCs/>
              </w:rPr>
              <w:t xml:space="preserve"> </w:t>
            </w:r>
            <w:r w:rsidR="008B275C" w:rsidRPr="008B275C">
              <w:rPr>
                <w:bCs/>
              </w:rPr>
              <w:t xml:space="preserve">Lack of training/knowledge regarding appropriate </w:t>
            </w:r>
            <w:proofErr w:type="gramStart"/>
            <w:r w:rsidR="008B275C" w:rsidRPr="008B275C">
              <w:rPr>
                <w:bCs/>
              </w:rPr>
              <w:t>process</w:t>
            </w:r>
            <w:proofErr w:type="gramEnd"/>
            <w:r w:rsidR="008B275C" w:rsidRPr="008B275C">
              <w:rPr>
                <w:bCs/>
              </w:rPr>
              <w:t>. </w:t>
            </w:r>
          </w:p>
        </w:tc>
      </w:tr>
      <w:tr w:rsidR="000D3850" w:rsidRPr="00FC2C0F" w14:paraId="4885170A" w14:textId="77777777" w:rsidTr="00683305">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71042ED2" w14:textId="4EB2FCBF" w:rsidR="000D3850" w:rsidRPr="00FC2C0F" w:rsidRDefault="000D3850" w:rsidP="000D3850">
            <w:pPr>
              <w:pStyle w:val="HSAGTableText"/>
              <w:contextualSpacing/>
              <w:rPr>
                <w:bCs/>
              </w:rPr>
            </w:pPr>
            <w:r>
              <w:rPr>
                <w:b/>
              </w:rPr>
              <w:t>PIHP Remediation Plan</w:t>
            </w:r>
            <w:r w:rsidRPr="00B30934">
              <w:rPr>
                <w:b/>
              </w:rPr>
              <w:t>:</w:t>
            </w:r>
            <w:r>
              <w:rPr>
                <w:bCs/>
              </w:rPr>
              <w:t xml:space="preserve"> </w:t>
            </w:r>
            <w:r w:rsidR="008B275C" w:rsidRPr="008B275C">
              <w:rPr>
                <w:bCs/>
              </w:rPr>
              <w:t>The NMRE has already updated the member handbook accordingly. The NMRE has also created a region wide consent template to obtain written consent of the member when an individual files a grievance on the member’s behalf. Training will be provided by the NMRE to the region regarding how to properly document the individual filing, the beneficiary consent, and documenting the written consent. </w:t>
            </w:r>
          </w:p>
        </w:tc>
      </w:tr>
      <w:tr w:rsidR="000D3850" w:rsidRPr="00FC2C0F" w14:paraId="6BA95BC4" w14:textId="77777777" w:rsidTr="00683305">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34D1B213" w14:textId="342DE0A6" w:rsidR="000D3850" w:rsidRPr="00FC2C0F" w:rsidRDefault="000D3850" w:rsidP="000D3850">
            <w:pPr>
              <w:pStyle w:val="HSAGTableText"/>
              <w:contextualSpacing/>
              <w:rPr>
                <w:bCs/>
              </w:rPr>
            </w:pPr>
            <w:r w:rsidRPr="00B30934">
              <w:rPr>
                <w:b/>
              </w:rPr>
              <w:t>Responsible Individual(s):</w:t>
            </w:r>
            <w:r>
              <w:rPr>
                <w:bCs/>
              </w:rPr>
              <w:t xml:space="preserve"> </w:t>
            </w:r>
            <w:r w:rsidR="008B275C" w:rsidRPr="008B275C">
              <w:rPr>
                <w:bCs/>
              </w:rPr>
              <w:t>Brie Molaison, NMRE Compliance and Customer Service Officer</w:t>
            </w:r>
          </w:p>
        </w:tc>
      </w:tr>
      <w:tr w:rsidR="000D3850" w:rsidRPr="00FC2C0F" w14:paraId="3575438D" w14:textId="77777777" w:rsidTr="00683305">
        <w:tblPrEx>
          <w:tblCellMar>
            <w:left w:w="108" w:type="dxa"/>
            <w:right w:w="108" w:type="dxa"/>
          </w:tblCellMar>
        </w:tblPrEx>
        <w:trPr>
          <w:trHeight w:val="374"/>
          <w:jc w:val="center"/>
        </w:trPr>
        <w:tc>
          <w:tcPr>
            <w:tcW w:w="14011" w:type="dxa"/>
            <w:gridSpan w:val="5"/>
            <w:tcBorders>
              <w:top w:val="single" w:sz="4" w:space="0" w:color="000000"/>
              <w:bottom w:val="single" w:sz="4" w:space="0" w:color="auto"/>
            </w:tcBorders>
          </w:tcPr>
          <w:p w14:paraId="5B325860" w14:textId="3EF05EB7" w:rsidR="000D3850" w:rsidRPr="00FC2C0F" w:rsidRDefault="000D3850" w:rsidP="000D3850">
            <w:pPr>
              <w:pStyle w:val="HSAGTableText"/>
              <w:contextualSpacing/>
              <w:rPr>
                <w:bCs/>
              </w:rPr>
            </w:pPr>
            <w:r w:rsidRPr="00B30934">
              <w:rPr>
                <w:b/>
              </w:rPr>
              <w:t>Timeline:</w:t>
            </w:r>
            <w:r>
              <w:rPr>
                <w:bCs/>
              </w:rPr>
              <w:t xml:space="preserve"> </w:t>
            </w:r>
            <w:r w:rsidR="008B275C">
              <w:rPr>
                <w:bCs/>
              </w:rPr>
              <w:t>By March 2026</w:t>
            </w:r>
          </w:p>
        </w:tc>
      </w:tr>
      <w:tr w:rsidR="000D3850" w14:paraId="26544FCA" w14:textId="77777777" w:rsidTr="00683305">
        <w:tblPrEx>
          <w:tblCellMar>
            <w:left w:w="108" w:type="dxa"/>
            <w:right w:w="108" w:type="dxa"/>
          </w:tblCellMar>
        </w:tblPrEx>
        <w:trPr>
          <w:trHeight w:val="374"/>
          <w:jc w:val="center"/>
        </w:trPr>
        <w:tc>
          <w:tcPr>
            <w:tcW w:w="10432" w:type="dxa"/>
            <w:gridSpan w:val="3"/>
            <w:tcBorders>
              <w:top w:val="single" w:sz="4" w:space="0" w:color="auto"/>
              <w:bottom w:val="single" w:sz="18" w:space="0" w:color="00549E" w:themeColor="text2"/>
            </w:tcBorders>
            <w:shd w:val="clear" w:color="auto" w:fill="F2F2F2" w:themeFill="background1" w:themeFillShade="F2"/>
          </w:tcPr>
          <w:p w14:paraId="6EAD488B" w14:textId="534239F7" w:rsidR="000D3850" w:rsidRPr="00FC2C0F" w:rsidRDefault="000D3850" w:rsidP="000D3850">
            <w:pPr>
              <w:pStyle w:val="HSAGTableText"/>
              <w:contextualSpacing/>
              <w:rPr>
                <w:bCs/>
              </w:rPr>
            </w:pPr>
            <w:r>
              <w:rPr>
                <w:b/>
              </w:rPr>
              <w:t>MDHHS/HSAG Response:</w:t>
            </w:r>
            <w:r>
              <w:rPr>
                <w:bCs/>
              </w:rPr>
              <w:t xml:space="preserve"> </w:t>
            </w:r>
            <w:r w:rsidR="008D1F4A" w:rsidRPr="008D1F4A">
              <w:rPr>
                <w:bCs/>
              </w:rPr>
              <w:t xml:space="preserve">The PIHP’s remediation plan is sufficient to ensure compliance with the requirements for this program area. While no additional information is required to be submitted at this time, the PIHP must proceed with </w:t>
            </w:r>
            <w:proofErr w:type="gramStart"/>
            <w:r w:rsidR="008D1F4A" w:rsidRPr="008D1F4A">
              <w:rPr>
                <w:bCs/>
              </w:rPr>
              <w:t>timely</w:t>
            </w:r>
            <w:proofErr w:type="gramEnd"/>
            <w:r w:rsidR="008D1F4A" w:rsidRPr="008D1F4A">
              <w:rPr>
                <w:bCs/>
              </w:rPr>
              <w:t xml:space="preserve"> implementation of its action plans. Please note, an </w:t>
            </w:r>
            <w:r w:rsidR="008D1F4A" w:rsidRPr="008D1F4A">
              <w:rPr>
                <w:bCs/>
                <w:i/>
                <w:iCs/>
              </w:rPr>
              <w:t>Accepted</w:t>
            </w:r>
            <w:r w:rsidR="008D1F4A" w:rsidRPr="008D1F4A">
              <w:rPr>
                <w:bCs/>
              </w:rPr>
              <w:t xml:space="preserve"> designation is not a guarantee of future compliance. Implementation of the PIHP’s action plans and demonstration of compliance will be assessed during future compliance review activities.</w:t>
            </w:r>
          </w:p>
        </w:tc>
        <w:tc>
          <w:tcPr>
            <w:tcW w:w="3579" w:type="dxa"/>
            <w:gridSpan w:val="2"/>
            <w:tcBorders>
              <w:top w:val="single" w:sz="4" w:space="0" w:color="auto"/>
              <w:bottom w:val="single" w:sz="18" w:space="0" w:color="00549E" w:themeColor="text2"/>
            </w:tcBorders>
            <w:shd w:val="clear" w:color="auto" w:fill="F2F2F2" w:themeFill="background1" w:themeFillShade="F2"/>
          </w:tcPr>
          <w:p w14:paraId="08C4F1EA" w14:textId="2C52C606" w:rsidR="000D3850" w:rsidRPr="00C123EE" w:rsidRDefault="00000000" w:rsidP="000D3850">
            <w:pPr>
              <w:pStyle w:val="HSAGTableText"/>
              <w:contextualSpacing/>
              <w:rPr>
                <w:bCs/>
              </w:rPr>
            </w:pPr>
            <w:sdt>
              <w:sdtPr>
                <w:rPr>
                  <w:bCs/>
                </w:rPr>
                <w:id w:val="895784980"/>
                <w14:checkbox>
                  <w14:checked w14:val="1"/>
                  <w14:checkedState w14:val="2612" w14:font="MS Gothic"/>
                  <w14:uncheckedState w14:val="2610" w14:font="MS Gothic"/>
                </w14:checkbox>
              </w:sdtPr>
              <w:sdtContent>
                <w:r w:rsidR="008D1F4A">
                  <w:rPr>
                    <w:rFonts w:ascii="MS Gothic" w:eastAsia="MS Gothic" w:hAnsi="MS Gothic" w:hint="eastAsia"/>
                    <w:bCs/>
                  </w:rPr>
                  <w:t>☒</w:t>
                </w:r>
              </w:sdtContent>
            </w:sdt>
            <w:r w:rsidR="000D3850" w:rsidRPr="00C123EE">
              <w:rPr>
                <w:bCs/>
              </w:rPr>
              <w:t xml:space="preserve"> Accepted</w:t>
            </w:r>
          </w:p>
          <w:p w14:paraId="06814367" w14:textId="77777777" w:rsidR="000D3850" w:rsidRPr="00C123EE" w:rsidRDefault="00000000" w:rsidP="000D3850">
            <w:pPr>
              <w:pStyle w:val="HSAGTableText"/>
              <w:contextualSpacing/>
              <w:rPr>
                <w:bCs/>
              </w:rPr>
            </w:pPr>
            <w:sdt>
              <w:sdtPr>
                <w:rPr>
                  <w:bCs/>
                </w:rPr>
                <w:id w:val="-1803679479"/>
                <w14:checkbox>
                  <w14:checked w14:val="0"/>
                  <w14:checkedState w14:val="2612" w14:font="MS Gothic"/>
                  <w14:uncheckedState w14:val="2610" w14:font="MS Gothic"/>
                </w14:checkbox>
              </w:sdtPr>
              <w:sdtContent>
                <w:r w:rsidR="000D3850" w:rsidRPr="00C123EE">
                  <w:rPr>
                    <w:rFonts w:ascii="MS Gothic" w:eastAsia="MS Gothic" w:hAnsi="MS Gothic" w:hint="eastAsia"/>
                    <w:bCs/>
                  </w:rPr>
                  <w:t>☐</w:t>
                </w:r>
              </w:sdtContent>
            </w:sdt>
            <w:r w:rsidR="000D3850" w:rsidRPr="00C123EE">
              <w:rPr>
                <w:bCs/>
              </w:rPr>
              <w:t xml:space="preserve"> Accepted </w:t>
            </w:r>
            <w:r w:rsidR="000D3850">
              <w:rPr>
                <w:bCs/>
              </w:rPr>
              <w:t>W</w:t>
            </w:r>
            <w:r w:rsidR="000D3850" w:rsidRPr="00C123EE">
              <w:rPr>
                <w:bCs/>
              </w:rPr>
              <w:t>ith Recommendations</w:t>
            </w:r>
          </w:p>
          <w:p w14:paraId="28036C09" w14:textId="77777777" w:rsidR="000D3850" w:rsidRDefault="00000000" w:rsidP="000D3850">
            <w:pPr>
              <w:pStyle w:val="HSAGTableText"/>
              <w:contextualSpacing/>
              <w:rPr>
                <w:b/>
              </w:rPr>
            </w:pPr>
            <w:sdt>
              <w:sdtPr>
                <w:rPr>
                  <w:bCs/>
                </w:rPr>
                <w:id w:val="-168959757"/>
                <w14:checkbox>
                  <w14:checked w14:val="0"/>
                  <w14:checkedState w14:val="2612" w14:font="MS Gothic"/>
                  <w14:uncheckedState w14:val="2610" w14:font="MS Gothic"/>
                </w14:checkbox>
              </w:sdtPr>
              <w:sdtContent>
                <w:r w:rsidR="000D3850" w:rsidRPr="00C123EE">
                  <w:rPr>
                    <w:rFonts w:ascii="MS Gothic" w:eastAsia="MS Gothic" w:hAnsi="MS Gothic" w:hint="eastAsia"/>
                    <w:bCs/>
                  </w:rPr>
                  <w:t>☐</w:t>
                </w:r>
              </w:sdtContent>
            </w:sdt>
            <w:r w:rsidR="000D3850" w:rsidRPr="00C123EE">
              <w:rPr>
                <w:bCs/>
              </w:rPr>
              <w:t xml:space="preserve"> Not Accepted</w:t>
            </w:r>
          </w:p>
        </w:tc>
      </w:tr>
      <w:tr w:rsidR="000D3850" w:rsidRPr="00903F99" w14:paraId="22D7A052" w14:textId="77777777" w:rsidTr="00683305">
        <w:trPr>
          <w:trHeight w:val="374"/>
          <w:jc w:val="center"/>
        </w:trPr>
        <w:tc>
          <w:tcPr>
            <w:tcW w:w="6471" w:type="dxa"/>
            <w:gridSpan w:val="2"/>
            <w:vMerge w:val="restart"/>
          </w:tcPr>
          <w:p w14:paraId="5ACB5FAA" w14:textId="77777777" w:rsidR="000D3850" w:rsidRPr="001408D5" w:rsidRDefault="000D3850" w:rsidP="00683305">
            <w:pPr>
              <w:pStyle w:val="ListNoNum"/>
              <w:keepNext/>
              <w:rPr>
                <w:i/>
                <w:iCs/>
              </w:rPr>
            </w:pPr>
            <w:r w:rsidRPr="001408D5">
              <w:rPr>
                <w:spacing w:val="-4"/>
              </w:rPr>
              <w:lastRenderedPageBreak/>
              <w:t>4.</w:t>
            </w:r>
            <w:r w:rsidRPr="001408D5">
              <w:rPr>
                <w:spacing w:val="-4"/>
              </w:rPr>
              <w:tab/>
            </w:r>
            <w:r w:rsidRPr="001408D5">
              <w:t xml:space="preserve">The PIHP acknowledges receipt of each grievance, </w:t>
            </w:r>
            <w:r w:rsidRPr="001408D5">
              <w:rPr>
                <w:i/>
                <w:iCs/>
              </w:rPr>
              <w:t>within five business days.</w:t>
            </w:r>
          </w:p>
          <w:p w14:paraId="4721E4D5" w14:textId="77777777" w:rsidR="000D3850" w:rsidRPr="001408D5" w:rsidRDefault="000D3850" w:rsidP="00683305">
            <w:pPr>
              <w:pStyle w:val="HSAGNumbers"/>
              <w:keepNext/>
              <w:numPr>
                <w:ilvl w:val="0"/>
                <w:numId w:val="0"/>
              </w:numPr>
              <w:ind w:left="360"/>
              <w:contextualSpacing/>
              <w:jc w:val="right"/>
              <w:rPr>
                <w:i/>
                <w:iCs/>
                <w:sz w:val="18"/>
                <w:szCs w:val="18"/>
              </w:rPr>
            </w:pPr>
          </w:p>
          <w:p w14:paraId="7A54A4AE" w14:textId="77777777" w:rsidR="000D3850" w:rsidRPr="001408D5" w:rsidRDefault="000D3850" w:rsidP="00683305">
            <w:pPr>
              <w:pStyle w:val="HSAGTableContracttext"/>
              <w:keepNext/>
              <w:rPr>
                <w:i/>
              </w:rPr>
            </w:pPr>
            <w:r w:rsidRPr="001408D5">
              <w:t>42 CFR §438.228</w:t>
            </w:r>
          </w:p>
          <w:p w14:paraId="1C3E973B" w14:textId="77777777" w:rsidR="000D3850" w:rsidRPr="001408D5" w:rsidRDefault="000D3850" w:rsidP="00683305">
            <w:pPr>
              <w:pStyle w:val="HSAGTableContracttext"/>
              <w:keepNext/>
              <w:rPr>
                <w:i/>
              </w:rPr>
            </w:pPr>
            <w:r w:rsidRPr="001408D5">
              <w:t>42 CFR §438.406(b)(1)</w:t>
            </w:r>
          </w:p>
          <w:p w14:paraId="283C7B31" w14:textId="77777777" w:rsidR="000D3850" w:rsidRPr="001408D5" w:rsidRDefault="000D3850" w:rsidP="000D3850">
            <w:pPr>
              <w:pStyle w:val="HSAGTableContracttext"/>
              <w:rPr>
                <w:i/>
              </w:rPr>
            </w:pPr>
            <w:r w:rsidRPr="001408D5">
              <w:t>42 CFR §457.1260(d)</w:t>
            </w:r>
          </w:p>
          <w:p w14:paraId="334EC897" w14:textId="77777777" w:rsidR="000D3850" w:rsidRPr="001408D5" w:rsidRDefault="000D3850" w:rsidP="000D3850">
            <w:pPr>
              <w:pStyle w:val="HSAGTableContracttext"/>
              <w:rPr>
                <w:i/>
              </w:rPr>
            </w:pPr>
            <w:r w:rsidRPr="001408D5">
              <w:t>Contract Schedule A—M(2)(e)</w:t>
            </w:r>
          </w:p>
          <w:p w14:paraId="0B85CCE8" w14:textId="70720EC3" w:rsidR="000D3850" w:rsidRPr="00903F99" w:rsidRDefault="000D3850" w:rsidP="000D3850">
            <w:pPr>
              <w:pStyle w:val="HSAGTableContracttext"/>
              <w:keepNext/>
              <w:spacing w:before="0" w:after="0"/>
              <w:ind w:left="1440"/>
              <w:contextualSpacing/>
              <w:rPr>
                <w:i/>
                <w:szCs w:val="18"/>
              </w:rPr>
            </w:pPr>
            <w:r w:rsidRPr="001408D5">
              <w:t>Appeal and Grievance Resolution Processes Technical Requirement—VIII(C)(2)</w:t>
            </w:r>
          </w:p>
        </w:tc>
        <w:tc>
          <w:tcPr>
            <w:tcW w:w="6114" w:type="dxa"/>
            <w:gridSpan w:val="2"/>
            <w:shd w:val="clear" w:color="auto" w:fill="FFFFFF" w:themeFill="background1"/>
          </w:tcPr>
          <w:p w14:paraId="62AD3ABC" w14:textId="77777777" w:rsidR="000D3850" w:rsidRPr="001408D5" w:rsidRDefault="000D3850" w:rsidP="000D3850">
            <w:pPr>
              <w:pStyle w:val="HSAGTableText"/>
              <w:contextualSpacing/>
              <w:rPr>
                <w:b/>
                <w:bCs/>
              </w:rPr>
            </w:pPr>
            <w:r w:rsidRPr="001408D5">
              <w:rPr>
                <w:b/>
                <w:bCs/>
              </w:rPr>
              <w:t>HSAG Required Evidence:</w:t>
            </w:r>
          </w:p>
          <w:p w14:paraId="2AB32DB8" w14:textId="77777777" w:rsidR="000D3850" w:rsidRPr="001408D5" w:rsidRDefault="000D3850" w:rsidP="00595A8D">
            <w:pPr>
              <w:pStyle w:val="HSAGTableText"/>
              <w:numPr>
                <w:ilvl w:val="0"/>
                <w:numId w:val="19"/>
              </w:numPr>
              <w:contextualSpacing/>
            </w:pPr>
            <w:r w:rsidRPr="001408D5">
              <w:t>Policies and procedures</w:t>
            </w:r>
          </w:p>
          <w:p w14:paraId="36EDA324" w14:textId="77777777" w:rsidR="000D3850" w:rsidRPr="001408D5" w:rsidRDefault="000D3850" w:rsidP="00595A8D">
            <w:pPr>
              <w:pStyle w:val="HSAGTableText"/>
              <w:numPr>
                <w:ilvl w:val="0"/>
                <w:numId w:val="19"/>
              </w:numPr>
              <w:contextualSpacing/>
            </w:pPr>
            <w:r w:rsidRPr="001408D5">
              <w:t xml:space="preserve">Grievance acknowledgment notice template </w:t>
            </w:r>
          </w:p>
          <w:p w14:paraId="559877DD" w14:textId="77777777" w:rsidR="000D3850" w:rsidRPr="001408D5" w:rsidRDefault="000D3850" w:rsidP="00595A8D">
            <w:pPr>
              <w:pStyle w:val="HSAGTableText"/>
              <w:numPr>
                <w:ilvl w:val="0"/>
                <w:numId w:val="19"/>
              </w:numPr>
              <w:contextualSpacing/>
            </w:pPr>
            <w:r w:rsidRPr="001408D5">
              <w:t>Tracking and reporting mechanisms</w:t>
            </w:r>
          </w:p>
          <w:p w14:paraId="553B46AE" w14:textId="77777777" w:rsidR="000D3850" w:rsidRPr="001408D5" w:rsidRDefault="000D3850" w:rsidP="00595A8D">
            <w:pPr>
              <w:pStyle w:val="HSAGTableText"/>
              <w:numPr>
                <w:ilvl w:val="0"/>
                <w:numId w:val="19"/>
              </w:numPr>
              <w:contextualSpacing/>
            </w:pPr>
            <w:r w:rsidRPr="001408D5">
              <w:t>System screenshot of the field where the date of receipt of the grievance is documented</w:t>
            </w:r>
          </w:p>
          <w:p w14:paraId="5E13628B" w14:textId="77777777" w:rsidR="000D3850" w:rsidRPr="001408D5" w:rsidRDefault="000D3850" w:rsidP="00595A8D">
            <w:pPr>
              <w:pStyle w:val="HSAGTableText"/>
              <w:numPr>
                <w:ilvl w:val="0"/>
                <w:numId w:val="19"/>
              </w:numPr>
              <w:contextualSpacing/>
            </w:pPr>
            <w:r w:rsidRPr="001408D5">
              <w:t>System screenshot of the field where the date of oral/written acknowledgement and the acknowledgement notice/call notes are documented</w:t>
            </w:r>
          </w:p>
          <w:p w14:paraId="02D8A130" w14:textId="77777777" w:rsidR="000D3850" w:rsidRDefault="000D3850" w:rsidP="00595A8D">
            <w:pPr>
              <w:pStyle w:val="HSAGTableText"/>
              <w:numPr>
                <w:ilvl w:val="0"/>
                <w:numId w:val="19"/>
              </w:numPr>
              <w:contextualSpacing/>
            </w:pPr>
            <w:r w:rsidRPr="001408D5">
              <w:t xml:space="preserve">Report </w:t>
            </w:r>
            <w:proofErr w:type="gramStart"/>
            <w:r w:rsidRPr="001408D5">
              <w:t>of</w:t>
            </w:r>
            <w:proofErr w:type="gramEnd"/>
            <w:r w:rsidRPr="001408D5">
              <w:t xml:space="preserve"> all appeals during the review period, including the date of receipt of the appeals and the date of acknowledgement</w:t>
            </w:r>
          </w:p>
          <w:p w14:paraId="27128F90" w14:textId="4DBA659A" w:rsidR="000D3850" w:rsidRPr="00903F99" w:rsidRDefault="000D3850" w:rsidP="00595A8D">
            <w:pPr>
              <w:pStyle w:val="HSAGTableText"/>
              <w:numPr>
                <w:ilvl w:val="0"/>
                <w:numId w:val="19"/>
              </w:numPr>
              <w:contextualSpacing/>
            </w:pPr>
            <w:r w:rsidRPr="001408D5">
              <w:t>HSAG will also use the results of the Grievances File Review</w:t>
            </w:r>
          </w:p>
        </w:tc>
        <w:tc>
          <w:tcPr>
            <w:tcW w:w="1426" w:type="dxa"/>
            <w:vMerge w:val="restart"/>
            <w:shd w:val="clear" w:color="auto" w:fill="FFFFFF" w:themeFill="background1"/>
          </w:tcPr>
          <w:p w14:paraId="3D367F22" w14:textId="77777777" w:rsidR="000D3850" w:rsidRPr="001408D5" w:rsidRDefault="000D3850" w:rsidP="000D3850">
            <w:pPr>
              <w:spacing w:before="60" w:after="0"/>
              <w:contextualSpacing/>
              <w:rPr>
                <w:sz w:val="22"/>
              </w:rPr>
            </w:pPr>
            <w:r w:rsidRPr="001408D5">
              <w:rPr>
                <w:rFonts w:ascii="MS Gothic" w:eastAsia="MS Gothic" w:hAnsi="MS Gothic" w:hint="eastAsia"/>
                <w:sz w:val="22"/>
              </w:rPr>
              <w:t>☐</w:t>
            </w:r>
            <w:r w:rsidRPr="001408D5">
              <w:rPr>
                <w:sz w:val="22"/>
              </w:rPr>
              <w:t xml:space="preserve"> Met</w:t>
            </w:r>
          </w:p>
          <w:p w14:paraId="6EB80035" w14:textId="77777777" w:rsidR="000D3850" w:rsidRPr="001408D5" w:rsidRDefault="00000000" w:rsidP="000D3850">
            <w:pPr>
              <w:spacing w:before="60" w:after="0"/>
              <w:contextualSpacing/>
              <w:rPr>
                <w:sz w:val="22"/>
              </w:rPr>
            </w:pPr>
            <w:sdt>
              <w:sdtPr>
                <w:rPr>
                  <w:rFonts w:ascii="MS Gothic" w:eastAsia="MS Gothic" w:hAnsi="MS Gothic" w:hint="eastAsia"/>
                  <w:sz w:val="22"/>
                </w:rPr>
                <w:id w:val="1260251795"/>
                <w14:checkbox>
                  <w14:checked w14:val="1"/>
                  <w14:checkedState w14:val="2612" w14:font="MS Gothic"/>
                  <w14:uncheckedState w14:val="2610" w14:font="MS Gothic"/>
                </w14:checkbox>
              </w:sdtPr>
              <w:sdtContent>
                <w:r w:rsidR="000D3850" w:rsidRPr="001408D5">
                  <w:rPr>
                    <w:rFonts w:ascii="MS Gothic" w:eastAsia="MS Gothic" w:hAnsi="MS Gothic" w:hint="eastAsia"/>
                    <w:sz w:val="22"/>
                  </w:rPr>
                  <w:t>☒</w:t>
                </w:r>
              </w:sdtContent>
            </w:sdt>
            <w:r w:rsidR="000D3850" w:rsidRPr="001408D5">
              <w:rPr>
                <w:sz w:val="22"/>
              </w:rPr>
              <w:t xml:space="preserve"> Not Met</w:t>
            </w:r>
          </w:p>
          <w:p w14:paraId="23ECEEB0" w14:textId="77777777" w:rsidR="000D3850" w:rsidRPr="001408D5" w:rsidRDefault="000D3850" w:rsidP="000D3850">
            <w:pPr>
              <w:spacing w:before="60" w:after="0"/>
              <w:contextualSpacing/>
              <w:rPr>
                <w:sz w:val="22"/>
              </w:rPr>
            </w:pPr>
            <w:r w:rsidRPr="001408D5">
              <w:rPr>
                <w:rFonts w:ascii="MS Gothic" w:eastAsia="MS Gothic" w:hAnsi="MS Gothic" w:hint="eastAsia"/>
                <w:sz w:val="22"/>
              </w:rPr>
              <w:t>☐</w:t>
            </w:r>
            <w:r w:rsidRPr="001408D5">
              <w:rPr>
                <w:sz w:val="22"/>
              </w:rPr>
              <w:t xml:space="preserve"> NA</w:t>
            </w:r>
          </w:p>
          <w:p w14:paraId="0E1A5265" w14:textId="77777777" w:rsidR="000D3850" w:rsidRPr="00903F99" w:rsidRDefault="000D3850" w:rsidP="000D3850">
            <w:pPr>
              <w:spacing w:before="0" w:after="0"/>
              <w:contextualSpacing/>
              <w:rPr>
                <w:sz w:val="22"/>
              </w:rPr>
            </w:pPr>
          </w:p>
        </w:tc>
      </w:tr>
      <w:tr w:rsidR="000D3850" w:rsidRPr="00903F99" w14:paraId="03F10D8C" w14:textId="77777777" w:rsidTr="00683305">
        <w:trPr>
          <w:trHeight w:val="374"/>
          <w:jc w:val="center"/>
        </w:trPr>
        <w:tc>
          <w:tcPr>
            <w:tcW w:w="6471" w:type="dxa"/>
            <w:gridSpan w:val="2"/>
            <w:vMerge/>
          </w:tcPr>
          <w:p w14:paraId="452E2309" w14:textId="77777777" w:rsidR="000D3850" w:rsidRPr="00903F99" w:rsidRDefault="000D3850" w:rsidP="00595A8D">
            <w:pPr>
              <w:pStyle w:val="HSAGNumbers"/>
              <w:numPr>
                <w:ilvl w:val="0"/>
                <w:numId w:val="16"/>
              </w:numPr>
              <w:spacing w:before="0" w:after="0"/>
              <w:contextualSpacing/>
            </w:pPr>
          </w:p>
        </w:tc>
        <w:tc>
          <w:tcPr>
            <w:tcW w:w="6114" w:type="dxa"/>
            <w:gridSpan w:val="2"/>
            <w:shd w:val="clear" w:color="auto" w:fill="FFFFFF" w:themeFill="background1"/>
          </w:tcPr>
          <w:p w14:paraId="538D8C1C" w14:textId="77777777" w:rsidR="000D3850" w:rsidRPr="001408D5" w:rsidRDefault="000D3850" w:rsidP="000D3850">
            <w:pPr>
              <w:pStyle w:val="HSAGTableText"/>
              <w:contextualSpacing/>
              <w:rPr>
                <w:b/>
                <w:bCs/>
              </w:rPr>
            </w:pPr>
            <w:r w:rsidRPr="001408D5">
              <w:rPr>
                <w:b/>
                <w:bCs/>
              </w:rPr>
              <w:t>Evidence as Submitted by the PIHP:</w:t>
            </w:r>
          </w:p>
          <w:p w14:paraId="7844F485" w14:textId="77777777" w:rsidR="000D3850" w:rsidRPr="001408D5" w:rsidRDefault="000D3850" w:rsidP="00595A8D">
            <w:pPr>
              <w:pStyle w:val="HSAGTableText"/>
              <w:numPr>
                <w:ilvl w:val="0"/>
                <w:numId w:val="25"/>
              </w:numPr>
              <w:contextualSpacing/>
            </w:pPr>
            <w:r w:rsidRPr="001408D5">
              <w:t xml:space="preserve">S9_E4_Beneficiary Grievance and Appeals </w:t>
            </w:r>
            <w:proofErr w:type="spellStart"/>
            <w:r w:rsidRPr="001408D5">
              <w:t>procedure_page</w:t>
            </w:r>
            <w:proofErr w:type="spellEnd"/>
            <w:r w:rsidRPr="001408D5">
              <w:t xml:space="preserve"> 2</w:t>
            </w:r>
          </w:p>
          <w:p w14:paraId="1B3B9BC2" w14:textId="77777777" w:rsidR="00D044DF" w:rsidRDefault="000D3850" w:rsidP="00595A8D">
            <w:pPr>
              <w:pStyle w:val="HSAGTableText"/>
              <w:numPr>
                <w:ilvl w:val="0"/>
                <w:numId w:val="25"/>
              </w:numPr>
              <w:contextualSpacing/>
            </w:pPr>
            <w:r w:rsidRPr="001408D5">
              <w:t>S9_E4_E6_E7_Grievance Tracking and Reporting</w:t>
            </w:r>
          </w:p>
          <w:p w14:paraId="1602E16B" w14:textId="20EF667D" w:rsidR="000D3850" w:rsidRPr="00903F99" w:rsidRDefault="000D3850" w:rsidP="00595A8D">
            <w:pPr>
              <w:pStyle w:val="HSAGTableText"/>
              <w:numPr>
                <w:ilvl w:val="0"/>
                <w:numId w:val="25"/>
              </w:numPr>
              <w:contextualSpacing/>
            </w:pPr>
            <w:r w:rsidRPr="001408D5">
              <w:t>S9_E4_Screenshot_date received</w:t>
            </w:r>
          </w:p>
        </w:tc>
        <w:tc>
          <w:tcPr>
            <w:tcW w:w="1426" w:type="dxa"/>
            <w:vMerge/>
            <w:shd w:val="clear" w:color="auto" w:fill="FFFFFF" w:themeFill="background1"/>
          </w:tcPr>
          <w:p w14:paraId="078E94D9" w14:textId="77777777" w:rsidR="000D3850" w:rsidRPr="00903F99" w:rsidRDefault="000D3850" w:rsidP="000D3850">
            <w:pPr>
              <w:spacing w:before="0" w:after="0"/>
              <w:contextualSpacing/>
              <w:rPr>
                <w:sz w:val="22"/>
              </w:rPr>
            </w:pPr>
          </w:p>
        </w:tc>
      </w:tr>
      <w:tr w:rsidR="000D3850" w:rsidRPr="00903F99" w14:paraId="35851CC1" w14:textId="77777777" w:rsidTr="00683305">
        <w:trPr>
          <w:trHeight w:val="374"/>
          <w:jc w:val="center"/>
        </w:trPr>
        <w:tc>
          <w:tcPr>
            <w:tcW w:w="14011" w:type="dxa"/>
            <w:gridSpan w:val="5"/>
            <w:vAlign w:val="center"/>
          </w:tcPr>
          <w:p w14:paraId="51A156A0" w14:textId="0A0C4D65" w:rsidR="000D3850" w:rsidRPr="00903F99" w:rsidRDefault="000D3850" w:rsidP="000D3850">
            <w:pPr>
              <w:pStyle w:val="HSAGTableText"/>
              <w:spacing w:before="0" w:after="0"/>
            </w:pPr>
            <w:r w:rsidRPr="001408D5">
              <w:rPr>
                <w:b/>
              </w:rPr>
              <w:t>PIHP Description of Process</w:t>
            </w:r>
            <w:proofErr w:type="gramStart"/>
            <w:r w:rsidRPr="001408D5">
              <w:rPr>
                <w:b/>
              </w:rPr>
              <w:t>:</w:t>
            </w:r>
            <w:r w:rsidRPr="001408D5">
              <w:t xml:space="preserve">  The</w:t>
            </w:r>
            <w:proofErr w:type="gramEnd"/>
            <w:r w:rsidRPr="001408D5">
              <w:t xml:space="preserve"> PIHP sends a notice of receipt of grievance to the beneficiary within 5 business days of the receipt of complaint. The PIHP tracks the compliance of this standard through the quarterly grievance report sent to MDHHS. </w:t>
            </w:r>
          </w:p>
        </w:tc>
      </w:tr>
      <w:tr w:rsidR="000D3850" w:rsidRPr="0026679F" w14:paraId="5B779310" w14:textId="77777777" w:rsidTr="00683305">
        <w:trPr>
          <w:trHeight w:val="374"/>
          <w:jc w:val="center"/>
        </w:trPr>
        <w:tc>
          <w:tcPr>
            <w:tcW w:w="14011" w:type="dxa"/>
            <w:gridSpan w:val="5"/>
            <w:tcBorders>
              <w:bottom w:val="single" w:sz="4" w:space="0" w:color="000000"/>
            </w:tcBorders>
            <w:vAlign w:val="center"/>
          </w:tcPr>
          <w:p w14:paraId="1501D6AA" w14:textId="77777777" w:rsidR="000D3850" w:rsidRPr="001408D5" w:rsidRDefault="000D3850" w:rsidP="000D3850">
            <w:pPr>
              <w:pStyle w:val="HSAGTableText"/>
              <w:rPr>
                <w:color w:val="auto"/>
              </w:rPr>
            </w:pPr>
            <w:r w:rsidRPr="001408D5">
              <w:rPr>
                <w:b/>
                <w:color w:val="auto"/>
              </w:rPr>
              <w:t>HSAG Findings:</w:t>
            </w:r>
            <w:r w:rsidRPr="001408D5">
              <w:rPr>
                <w:color w:val="auto"/>
              </w:rPr>
              <w:t xml:space="preserve"> </w:t>
            </w:r>
            <w:r w:rsidRPr="001408D5">
              <w:t xml:space="preserve">HSAG required a report of all grievances during the review period, including the date of receipt of the grievance and the date of acknowledgement; however, this report was not submitted as evidence for HSAG’s desk review. </w:t>
            </w:r>
            <w:r w:rsidRPr="001408D5">
              <w:rPr>
                <w:color w:val="auto"/>
              </w:rPr>
              <w:t>After the site review, the PIHP submitted a report of all grievances for the PIHP and one CMHSP. However, the CMHSP report identified one grievance which was not acknowledged until six business days after receipt. Additionally, a report for the remaining CMHSPs was not provided. Further, while two reports were provided after the site review, it is unclear if the PIHP is actively monitoring adherence to acknowledgement time frames (e.g., monitoring reports of acknowledgement time frames, case file reviews). Lastly, the SUD provider manual incorrectly informed providers that grievances would be acknowledged within 10 business days as opposed to the required five business days.</w:t>
            </w:r>
          </w:p>
          <w:p w14:paraId="4EACEFC7" w14:textId="0294E95D" w:rsidR="000D3850" w:rsidRPr="0026679F" w:rsidRDefault="000D3850" w:rsidP="000D3850">
            <w:pPr>
              <w:pStyle w:val="HSAGTableText"/>
              <w:spacing w:before="0"/>
            </w:pPr>
            <w:r w:rsidRPr="001408D5">
              <w:rPr>
                <w:b/>
                <w:bCs/>
                <w:color w:val="auto"/>
              </w:rPr>
              <w:t>Recommendations:</w:t>
            </w:r>
            <w:r w:rsidRPr="001408D5">
              <w:rPr>
                <w:color w:val="auto"/>
              </w:rPr>
              <w:t xml:space="preserve"> The case file review identified one record (Sample 1) which did not include evidence of acknowledgement of the grievance (i.e., screenshot of the date of acknowledgement field and the acknowledgement notice). After the site review, the PIHP submitted a document titled “Notice of Receipt”; however, the notice was the notice of grievance resolution and not the notice of receipt. While the PIHP did not provide additional clarification, as </w:t>
            </w:r>
            <w:r w:rsidRPr="001408D5">
              <w:rPr>
                <w:color w:val="auto"/>
              </w:rPr>
              <w:lastRenderedPageBreak/>
              <w:t xml:space="preserve">the resolution notice was dated five business days after receipt of the grievance and as the PIHP has five business days to acknowledge receipt of the grievance, HSAG is assuming that the resolution notice served as both the acknowledgement and resolution notice. The PIHP must thoroughly review all grievance case files and be able to explain such anomalies during future compliance reviews. </w:t>
            </w:r>
            <w:r w:rsidRPr="001408D5">
              <w:rPr>
                <w:color w:val="auto"/>
                <w:kern w:val="2"/>
                <w14:ligatures w14:val="standardContextual"/>
              </w:rPr>
              <w:t xml:space="preserve">Additionally, </w:t>
            </w:r>
            <w:r w:rsidRPr="001408D5">
              <w:rPr>
                <w:color w:val="auto"/>
              </w:rPr>
              <w:t xml:space="preserve">HSAG recommends that the PIHP implement mechanisms to monitor adherence to this requirement by reviewing periodic reports on acknowledgement turnaround times (TATs). </w:t>
            </w:r>
            <w:r w:rsidRPr="001408D5">
              <w:t xml:space="preserve">If the PIHP does not demonstrate adequate implementation of HSAG’s recommendations during future compliance reviews, the PIHP may receive a </w:t>
            </w:r>
            <w:r w:rsidRPr="001408D5">
              <w:rPr>
                <w:i/>
                <w:iCs/>
              </w:rPr>
              <w:t>Not Met</w:t>
            </w:r>
            <w:r w:rsidRPr="001408D5">
              <w:t xml:space="preserve"> score.</w:t>
            </w:r>
          </w:p>
        </w:tc>
      </w:tr>
      <w:tr w:rsidR="000D3850" w:rsidRPr="0026679F" w14:paraId="790B7F7B" w14:textId="77777777" w:rsidTr="00683305">
        <w:trPr>
          <w:trHeight w:val="374"/>
          <w:jc w:val="center"/>
        </w:trPr>
        <w:tc>
          <w:tcPr>
            <w:tcW w:w="14011" w:type="dxa"/>
            <w:gridSpan w:val="5"/>
            <w:tcBorders>
              <w:top w:val="single" w:sz="4" w:space="0" w:color="000000"/>
              <w:bottom w:val="single" w:sz="4" w:space="0" w:color="auto"/>
            </w:tcBorders>
            <w:vAlign w:val="center"/>
          </w:tcPr>
          <w:p w14:paraId="1551AAA0" w14:textId="55AA7B04" w:rsidR="000D3850" w:rsidRPr="0026679F" w:rsidRDefault="000D3850" w:rsidP="000D3850">
            <w:pPr>
              <w:pStyle w:val="HSAGTableText"/>
              <w:rPr>
                <w:b/>
              </w:rPr>
            </w:pPr>
            <w:r w:rsidRPr="001408D5">
              <w:rPr>
                <w:b/>
              </w:rPr>
              <w:lastRenderedPageBreak/>
              <w:t>Required Actions:</w:t>
            </w:r>
            <w:r w:rsidRPr="001408D5">
              <w:t xml:space="preserve"> The PIHP must acknowledge receipt of each grievance within five business days and implement processes (e.g., monitoring reports of acknowledgement time frames) to monitor adherence</w:t>
            </w:r>
            <w:r>
              <w:t xml:space="preserve"> to</w:t>
            </w:r>
            <w:r w:rsidRPr="001408D5">
              <w:t xml:space="preserve"> the acknowledgement time frame standard.</w:t>
            </w:r>
          </w:p>
        </w:tc>
      </w:tr>
      <w:tr w:rsidR="000D3850" w:rsidRPr="00D16F05" w14:paraId="69698FC2" w14:textId="77777777" w:rsidTr="00683305">
        <w:tblPrEx>
          <w:tblCellMar>
            <w:left w:w="108" w:type="dxa"/>
            <w:right w:w="108" w:type="dxa"/>
          </w:tblCellMar>
        </w:tblPrEx>
        <w:trPr>
          <w:trHeight w:val="374"/>
          <w:jc w:val="center"/>
        </w:trPr>
        <w:tc>
          <w:tcPr>
            <w:tcW w:w="14011" w:type="dxa"/>
            <w:gridSpan w:val="5"/>
            <w:tcBorders>
              <w:top w:val="single" w:sz="4" w:space="0" w:color="auto"/>
              <w:bottom w:val="single" w:sz="4" w:space="0" w:color="000000" w:themeColor="text1"/>
            </w:tcBorders>
            <w:shd w:val="clear" w:color="auto" w:fill="F79548" w:themeFill="accent4"/>
          </w:tcPr>
          <w:p w14:paraId="49269D33" w14:textId="77777777" w:rsidR="000D3850" w:rsidRPr="00D16F05" w:rsidRDefault="000D3850" w:rsidP="000D3850">
            <w:pPr>
              <w:pStyle w:val="HSAGTableText"/>
              <w:keepNext/>
              <w:contextualSpacing/>
              <w:rPr>
                <w:b/>
              </w:rPr>
            </w:pPr>
            <w:r>
              <w:rPr>
                <w:b/>
              </w:rPr>
              <w:t>PIHP Corrective Action Plan</w:t>
            </w:r>
          </w:p>
        </w:tc>
      </w:tr>
      <w:tr w:rsidR="000D3850" w:rsidRPr="00984D92" w14:paraId="16908F70" w14:textId="77777777" w:rsidTr="00683305">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11BCE457" w14:textId="02874B22" w:rsidR="000D3850" w:rsidRPr="00984D92" w:rsidRDefault="000D3850" w:rsidP="000D3850">
            <w:pPr>
              <w:pStyle w:val="HSAGTableText"/>
              <w:contextualSpacing/>
              <w:rPr>
                <w:bCs/>
              </w:rPr>
            </w:pPr>
            <w:r>
              <w:rPr>
                <w:b/>
              </w:rPr>
              <w:t>Root Cause Analysis:</w:t>
            </w:r>
            <w:r w:rsidRPr="003F5489">
              <w:rPr>
                <w:bCs/>
              </w:rPr>
              <w:t xml:space="preserve"> </w:t>
            </w:r>
            <w:r w:rsidR="008B275C" w:rsidRPr="008B275C">
              <w:rPr>
                <w:bCs/>
              </w:rPr>
              <w:t>Staff turnaround and lack of focused oversight. </w:t>
            </w:r>
          </w:p>
        </w:tc>
      </w:tr>
      <w:tr w:rsidR="000D3850" w:rsidRPr="00FC2C0F" w14:paraId="7610DDC4" w14:textId="77777777" w:rsidTr="00683305">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42DB6725" w14:textId="64DAE6FD" w:rsidR="000D3850" w:rsidRPr="00FC2C0F" w:rsidRDefault="000D3850" w:rsidP="000D3850">
            <w:pPr>
              <w:pStyle w:val="HSAGTableText"/>
              <w:contextualSpacing/>
              <w:rPr>
                <w:bCs/>
              </w:rPr>
            </w:pPr>
            <w:r>
              <w:rPr>
                <w:b/>
              </w:rPr>
              <w:t>PIHP Remediation Plan</w:t>
            </w:r>
            <w:r w:rsidRPr="00B30934">
              <w:rPr>
                <w:b/>
              </w:rPr>
              <w:t>:</w:t>
            </w:r>
            <w:r>
              <w:rPr>
                <w:bCs/>
              </w:rPr>
              <w:t xml:space="preserve"> </w:t>
            </w:r>
            <w:r w:rsidR="008B275C" w:rsidRPr="008B275C">
              <w:rPr>
                <w:bCs/>
              </w:rPr>
              <w:t xml:space="preserve">The NMRE has implemented additional oversight for grievances. Beginning quarter one of fiscal year 2026, each regional provider will submit at least five (5) grievances for the NMRE to review and provide feedback to the provider. The NMRE will also intently review the quarterly grievance report sent to MDHHS for timeframe requirements. Furthermore, the NMRE will be providing </w:t>
            </w:r>
            <w:proofErr w:type="gramStart"/>
            <w:r w:rsidR="008B275C" w:rsidRPr="008B275C">
              <w:rPr>
                <w:bCs/>
              </w:rPr>
              <w:t>a region wide</w:t>
            </w:r>
            <w:proofErr w:type="gramEnd"/>
            <w:r w:rsidR="008B275C" w:rsidRPr="008B275C">
              <w:rPr>
                <w:bCs/>
              </w:rPr>
              <w:t>, in-depth re-training of grievance and appeal technical requirements.</w:t>
            </w:r>
          </w:p>
        </w:tc>
      </w:tr>
      <w:tr w:rsidR="000D3850" w:rsidRPr="00FC2C0F" w14:paraId="4A07B1E0" w14:textId="77777777" w:rsidTr="00683305">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0018948E" w14:textId="4EF75C39" w:rsidR="000D3850" w:rsidRPr="00FC2C0F" w:rsidRDefault="000D3850" w:rsidP="000D3850">
            <w:pPr>
              <w:pStyle w:val="HSAGTableText"/>
              <w:contextualSpacing/>
              <w:rPr>
                <w:bCs/>
              </w:rPr>
            </w:pPr>
            <w:r w:rsidRPr="00B30934">
              <w:rPr>
                <w:b/>
              </w:rPr>
              <w:t>Responsible Individual(s):</w:t>
            </w:r>
            <w:r>
              <w:rPr>
                <w:bCs/>
              </w:rPr>
              <w:t xml:space="preserve"> </w:t>
            </w:r>
            <w:r w:rsidR="009075F9">
              <w:rPr>
                <w:bCs/>
              </w:rPr>
              <w:t>B</w:t>
            </w:r>
            <w:r w:rsidR="009075F9">
              <w:t xml:space="preserve">rie Molaison, Compliance and Customer Service Officer </w:t>
            </w:r>
          </w:p>
        </w:tc>
      </w:tr>
      <w:tr w:rsidR="000D3850" w:rsidRPr="00FC2C0F" w14:paraId="3A7FA151" w14:textId="77777777" w:rsidTr="00683305">
        <w:tblPrEx>
          <w:tblCellMar>
            <w:left w:w="108" w:type="dxa"/>
            <w:right w:w="108" w:type="dxa"/>
          </w:tblCellMar>
        </w:tblPrEx>
        <w:trPr>
          <w:trHeight w:val="374"/>
          <w:jc w:val="center"/>
        </w:trPr>
        <w:tc>
          <w:tcPr>
            <w:tcW w:w="14011" w:type="dxa"/>
            <w:gridSpan w:val="5"/>
            <w:tcBorders>
              <w:top w:val="single" w:sz="4" w:space="0" w:color="000000"/>
              <w:bottom w:val="single" w:sz="4" w:space="0" w:color="auto"/>
            </w:tcBorders>
          </w:tcPr>
          <w:p w14:paraId="243FB140" w14:textId="34960068" w:rsidR="000D3850" w:rsidRPr="00FC2C0F" w:rsidRDefault="000D3850" w:rsidP="000D3850">
            <w:pPr>
              <w:pStyle w:val="HSAGTableText"/>
              <w:contextualSpacing/>
              <w:rPr>
                <w:bCs/>
              </w:rPr>
            </w:pPr>
            <w:r w:rsidRPr="00B30934">
              <w:rPr>
                <w:b/>
              </w:rPr>
              <w:t>Timeline:</w:t>
            </w:r>
            <w:r>
              <w:rPr>
                <w:bCs/>
              </w:rPr>
              <w:t xml:space="preserve"> </w:t>
            </w:r>
            <w:r w:rsidR="009075F9">
              <w:rPr>
                <w:bCs/>
              </w:rPr>
              <w:t>October 1, 2025 – March 2026</w:t>
            </w:r>
          </w:p>
        </w:tc>
      </w:tr>
      <w:tr w:rsidR="000D3850" w14:paraId="46757839" w14:textId="77777777" w:rsidTr="00683305">
        <w:tblPrEx>
          <w:tblCellMar>
            <w:left w:w="108" w:type="dxa"/>
            <w:right w:w="108" w:type="dxa"/>
          </w:tblCellMar>
        </w:tblPrEx>
        <w:trPr>
          <w:trHeight w:val="374"/>
          <w:jc w:val="center"/>
        </w:trPr>
        <w:tc>
          <w:tcPr>
            <w:tcW w:w="10432" w:type="dxa"/>
            <w:gridSpan w:val="3"/>
            <w:tcBorders>
              <w:top w:val="single" w:sz="4" w:space="0" w:color="auto"/>
              <w:bottom w:val="single" w:sz="18" w:space="0" w:color="00549E" w:themeColor="text2"/>
            </w:tcBorders>
            <w:shd w:val="clear" w:color="auto" w:fill="F2F2F2" w:themeFill="background1" w:themeFillShade="F2"/>
          </w:tcPr>
          <w:p w14:paraId="4D5C7BB0" w14:textId="6C96BDE2" w:rsidR="000D3850" w:rsidRPr="00FC2C0F" w:rsidRDefault="000D3850" w:rsidP="000D3850">
            <w:pPr>
              <w:pStyle w:val="HSAGTableText"/>
              <w:contextualSpacing/>
              <w:rPr>
                <w:bCs/>
              </w:rPr>
            </w:pPr>
            <w:r>
              <w:rPr>
                <w:b/>
              </w:rPr>
              <w:t>MDHHS/HSAG Response:</w:t>
            </w:r>
            <w:r>
              <w:rPr>
                <w:bCs/>
              </w:rPr>
              <w:t xml:space="preserve"> </w:t>
            </w:r>
            <w:r w:rsidR="008D1F4A" w:rsidRPr="008D1F4A">
              <w:rPr>
                <w:bCs/>
              </w:rPr>
              <w:t xml:space="preserve">The PIHP’s remediation plan is sufficient to ensure compliance with the requirements for this program area. However, </w:t>
            </w:r>
            <w:r w:rsidR="00151CE4">
              <w:rPr>
                <w:bCs/>
              </w:rPr>
              <w:t xml:space="preserve">while the PIHP will be reviewing a sample of grievance cases, a sampling of records does not </w:t>
            </w:r>
            <w:r w:rsidR="00C76AB3">
              <w:rPr>
                <w:bCs/>
              </w:rPr>
              <w:t>assure</w:t>
            </w:r>
            <w:r w:rsidR="00151CE4">
              <w:rPr>
                <w:bCs/>
              </w:rPr>
              <w:t xml:space="preserve"> that all grievances are consistently acknowledged timely. As such, HSAG recommends that the PIHP enhance reporting mechanisms to monitor the timeliness of </w:t>
            </w:r>
            <w:r w:rsidR="00C76AB3">
              <w:rPr>
                <w:bCs/>
              </w:rPr>
              <w:t xml:space="preserve">all </w:t>
            </w:r>
            <w:r w:rsidR="00151CE4">
              <w:rPr>
                <w:bCs/>
              </w:rPr>
              <w:t xml:space="preserve">acknowledgements. </w:t>
            </w:r>
            <w:r w:rsidR="008D1F4A" w:rsidRPr="008D1F4A">
              <w:rPr>
                <w:bCs/>
              </w:rPr>
              <w:t xml:space="preserve">While no additional information is required to be submitted at this time, the PIHP must proceed with </w:t>
            </w:r>
            <w:proofErr w:type="gramStart"/>
            <w:r w:rsidR="008D1F4A" w:rsidRPr="008D1F4A">
              <w:rPr>
                <w:bCs/>
              </w:rPr>
              <w:t>timely</w:t>
            </w:r>
            <w:proofErr w:type="gramEnd"/>
            <w:r w:rsidR="008D1F4A" w:rsidRPr="008D1F4A">
              <w:rPr>
                <w:bCs/>
              </w:rPr>
              <w:t xml:space="preserve"> implementation of its action plans. Please note, an </w:t>
            </w:r>
            <w:r w:rsidR="008D1F4A" w:rsidRPr="00151CE4">
              <w:rPr>
                <w:bCs/>
                <w:i/>
                <w:iCs/>
              </w:rPr>
              <w:t xml:space="preserve">Accepted </w:t>
            </w:r>
            <w:proofErr w:type="gramStart"/>
            <w:r w:rsidR="008D1F4A" w:rsidRPr="00151CE4">
              <w:rPr>
                <w:bCs/>
                <w:i/>
                <w:iCs/>
              </w:rPr>
              <w:t>With</w:t>
            </w:r>
            <w:proofErr w:type="gramEnd"/>
            <w:r w:rsidR="008D1F4A" w:rsidRPr="00151CE4">
              <w:rPr>
                <w:bCs/>
                <w:i/>
                <w:iCs/>
              </w:rPr>
              <w:t xml:space="preserve"> Recommendation</w:t>
            </w:r>
            <w:r w:rsidR="008D1F4A" w:rsidRPr="008D1F4A">
              <w:rPr>
                <w:bCs/>
              </w:rPr>
              <w:t xml:space="preserve"> designation is not a guarantee of future compliance. Implementation of the PIHP’s action plans and demonstration of compliance will be assessed during future compliance review activities.</w:t>
            </w:r>
          </w:p>
        </w:tc>
        <w:tc>
          <w:tcPr>
            <w:tcW w:w="3579" w:type="dxa"/>
            <w:gridSpan w:val="2"/>
            <w:tcBorders>
              <w:top w:val="single" w:sz="4" w:space="0" w:color="auto"/>
              <w:bottom w:val="single" w:sz="18" w:space="0" w:color="00549E" w:themeColor="text2"/>
            </w:tcBorders>
            <w:shd w:val="clear" w:color="auto" w:fill="F2F2F2" w:themeFill="background1" w:themeFillShade="F2"/>
          </w:tcPr>
          <w:p w14:paraId="7001F1EA" w14:textId="77777777" w:rsidR="000D3850" w:rsidRPr="00C123EE" w:rsidRDefault="00000000" w:rsidP="000D3850">
            <w:pPr>
              <w:pStyle w:val="HSAGTableText"/>
              <w:contextualSpacing/>
              <w:rPr>
                <w:bCs/>
              </w:rPr>
            </w:pPr>
            <w:sdt>
              <w:sdtPr>
                <w:rPr>
                  <w:bCs/>
                </w:rPr>
                <w:id w:val="635456626"/>
                <w14:checkbox>
                  <w14:checked w14:val="0"/>
                  <w14:checkedState w14:val="2612" w14:font="MS Gothic"/>
                  <w14:uncheckedState w14:val="2610" w14:font="MS Gothic"/>
                </w14:checkbox>
              </w:sdtPr>
              <w:sdtContent>
                <w:r w:rsidR="000D3850" w:rsidRPr="00C123EE">
                  <w:rPr>
                    <w:rFonts w:ascii="MS Gothic" w:eastAsia="MS Gothic" w:hAnsi="MS Gothic" w:hint="eastAsia"/>
                    <w:bCs/>
                  </w:rPr>
                  <w:t>☐</w:t>
                </w:r>
              </w:sdtContent>
            </w:sdt>
            <w:r w:rsidR="000D3850" w:rsidRPr="00C123EE">
              <w:rPr>
                <w:bCs/>
              </w:rPr>
              <w:t xml:space="preserve"> Accepted</w:t>
            </w:r>
          </w:p>
          <w:p w14:paraId="15AA9C31" w14:textId="68D83B9F" w:rsidR="000D3850" w:rsidRPr="00C123EE" w:rsidRDefault="00000000" w:rsidP="000D3850">
            <w:pPr>
              <w:pStyle w:val="HSAGTableText"/>
              <w:contextualSpacing/>
              <w:rPr>
                <w:bCs/>
              </w:rPr>
            </w:pPr>
            <w:sdt>
              <w:sdtPr>
                <w:rPr>
                  <w:bCs/>
                </w:rPr>
                <w:id w:val="-89779786"/>
                <w14:checkbox>
                  <w14:checked w14:val="1"/>
                  <w14:checkedState w14:val="2612" w14:font="MS Gothic"/>
                  <w14:uncheckedState w14:val="2610" w14:font="MS Gothic"/>
                </w14:checkbox>
              </w:sdtPr>
              <w:sdtContent>
                <w:r w:rsidR="008D1F4A">
                  <w:rPr>
                    <w:rFonts w:ascii="MS Gothic" w:eastAsia="MS Gothic" w:hAnsi="MS Gothic" w:hint="eastAsia"/>
                    <w:bCs/>
                  </w:rPr>
                  <w:t>☒</w:t>
                </w:r>
              </w:sdtContent>
            </w:sdt>
            <w:r w:rsidR="000D3850" w:rsidRPr="00C123EE">
              <w:rPr>
                <w:bCs/>
              </w:rPr>
              <w:t xml:space="preserve"> Accepted </w:t>
            </w:r>
            <w:r w:rsidR="000D3850">
              <w:rPr>
                <w:bCs/>
              </w:rPr>
              <w:t>W</w:t>
            </w:r>
            <w:r w:rsidR="000D3850" w:rsidRPr="00C123EE">
              <w:rPr>
                <w:bCs/>
              </w:rPr>
              <w:t>ith Recommendations</w:t>
            </w:r>
          </w:p>
          <w:p w14:paraId="4D36B2C8" w14:textId="77777777" w:rsidR="000D3850" w:rsidRDefault="00000000" w:rsidP="000D3850">
            <w:pPr>
              <w:pStyle w:val="HSAGTableText"/>
              <w:contextualSpacing/>
              <w:rPr>
                <w:b/>
              </w:rPr>
            </w:pPr>
            <w:sdt>
              <w:sdtPr>
                <w:rPr>
                  <w:bCs/>
                </w:rPr>
                <w:id w:val="-1010378264"/>
                <w14:checkbox>
                  <w14:checked w14:val="0"/>
                  <w14:checkedState w14:val="2612" w14:font="MS Gothic"/>
                  <w14:uncheckedState w14:val="2610" w14:font="MS Gothic"/>
                </w14:checkbox>
              </w:sdtPr>
              <w:sdtContent>
                <w:r w:rsidR="000D3850" w:rsidRPr="00C123EE">
                  <w:rPr>
                    <w:rFonts w:ascii="MS Gothic" w:eastAsia="MS Gothic" w:hAnsi="MS Gothic" w:hint="eastAsia"/>
                    <w:bCs/>
                  </w:rPr>
                  <w:t>☐</w:t>
                </w:r>
              </w:sdtContent>
            </w:sdt>
            <w:r w:rsidR="000D3850" w:rsidRPr="00C123EE">
              <w:rPr>
                <w:bCs/>
              </w:rPr>
              <w:t xml:space="preserve"> Not Accepted</w:t>
            </w:r>
          </w:p>
        </w:tc>
      </w:tr>
      <w:tr w:rsidR="000D3850" w:rsidRPr="00903F99" w14:paraId="28E6175A" w14:textId="77777777" w:rsidTr="00683305">
        <w:trPr>
          <w:trHeight w:val="374"/>
          <w:jc w:val="center"/>
        </w:trPr>
        <w:tc>
          <w:tcPr>
            <w:tcW w:w="6471" w:type="dxa"/>
            <w:gridSpan w:val="2"/>
            <w:vMerge w:val="restart"/>
          </w:tcPr>
          <w:p w14:paraId="220C327E" w14:textId="77777777" w:rsidR="000D3850" w:rsidRPr="001408D5" w:rsidRDefault="000D3850" w:rsidP="000D3850">
            <w:pPr>
              <w:pStyle w:val="ListNoNum"/>
              <w:rPr>
                <w:rFonts w:eastAsiaTheme="minorHAnsi"/>
                <w:sz w:val="18"/>
                <w:szCs w:val="18"/>
              </w:rPr>
            </w:pPr>
            <w:r w:rsidRPr="001408D5">
              <w:rPr>
                <w:spacing w:val="-4"/>
              </w:rPr>
              <w:t>6.</w:t>
            </w:r>
            <w:r w:rsidRPr="001408D5">
              <w:rPr>
                <w:spacing w:val="-4"/>
              </w:rPr>
              <w:tab/>
            </w:r>
            <w:r w:rsidRPr="001408D5">
              <w:rPr>
                <w:rFonts w:eastAsiaTheme="minorHAnsi"/>
              </w:rPr>
              <w:t xml:space="preserve">The PIHP resolves each grievance and provides </w:t>
            </w:r>
            <w:r w:rsidRPr="001408D5">
              <w:rPr>
                <w:rFonts w:eastAsiaTheme="minorHAnsi"/>
                <w:i/>
                <w:iCs/>
              </w:rPr>
              <w:t>written</w:t>
            </w:r>
            <w:r w:rsidRPr="001408D5">
              <w:rPr>
                <w:rFonts w:eastAsiaTheme="minorHAnsi"/>
              </w:rPr>
              <w:t xml:space="preserve"> notice of resolution, as expeditiously as the member’s health condition requires, within MDHHS-established time frames that do not exceed the time frames specified in 42 CFR §438.408.</w:t>
            </w:r>
          </w:p>
          <w:p w14:paraId="48F9DCD8" w14:textId="77777777" w:rsidR="000D3850" w:rsidRPr="001408D5" w:rsidRDefault="000D3850" w:rsidP="000D3850">
            <w:pPr>
              <w:pStyle w:val="ListNoNum2"/>
              <w:rPr>
                <w:rFonts w:eastAsiaTheme="minorHAnsi"/>
                <w:sz w:val="18"/>
                <w:szCs w:val="18"/>
              </w:rPr>
            </w:pPr>
            <w:r w:rsidRPr="001408D5">
              <w:lastRenderedPageBreak/>
              <w:t>a</w:t>
            </w:r>
            <w:proofErr w:type="gramStart"/>
            <w:r w:rsidRPr="001408D5">
              <w:t xml:space="preserve">. </w:t>
            </w:r>
            <w:r w:rsidRPr="001408D5">
              <w:tab/>
            </w:r>
            <w:r w:rsidRPr="001408D5">
              <w:rPr>
                <w:rFonts w:eastAsiaTheme="minorHAnsi"/>
              </w:rPr>
              <w:t>The</w:t>
            </w:r>
            <w:proofErr w:type="gramEnd"/>
            <w:r w:rsidRPr="001408D5">
              <w:rPr>
                <w:rFonts w:eastAsiaTheme="minorHAnsi"/>
              </w:rPr>
              <w:t xml:space="preserve"> PIHP resolves the grievance and sends written notice to the affected parties within 90 calendar days from the day the PIHP receives the grievance.</w:t>
            </w:r>
          </w:p>
          <w:p w14:paraId="349A38D7" w14:textId="77777777" w:rsidR="000D3850" w:rsidRPr="001408D5" w:rsidRDefault="000D3850" w:rsidP="000D3850">
            <w:pPr>
              <w:pStyle w:val="ListParagraph"/>
              <w:spacing w:after="60"/>
              <w:ind w:left="360"/>
              <w:jc w:val="right"/>
              <w:rPr>
                <w:iCs/>
                <w:sz w:val="18"/>
                <w:szCs w:val="18"/>
              </w:rPr>
            </w:pPr>
          </w:p>
          <w:p w14:paraId="1B8358F0" w14:textId="77777777" w:rsidR="000D3850" w:rsidRPr="001408D5" w:rsidRDefault="000D3850" w:rsidP="000D3850">
            <w:pPr>
              <w:pStyle w:val="HSAGTableContracttext"/>
            </w:pPr>
            <w:r w:rsidRPr="001408D5">
              <w:t>42 CFR §438.228</w:t>
            </w:r>
          </w:p>
          <w:p w14:paraId="18F7B7F2" w14:textId="77777777" w:rsidR="000D3850" w:rsidRPr="001408D5" w:rsidRDefault="000D3850" w:rsidP="000D3850">
            <w:pPr>
              <w:pStyle w:val="HSAGTableContracttext"/>
              <w:rPr>
                <w:iCs/>
              </w:rPr>
            </w:pPr>
            <w:r w:rsidRPr="001408D5">
              <w:rPr>
                <w:iCs/>
              </w:rPr>
              <w:t>42 CFR §438.408(a)</w:t>
            </w:r>
          </w:p>
          <w:p w14:paraId="725880B3" w14:textId="77777777" w:rsidR="000D3850" w:rsidRPr="001408D5" w:rsidRDefault="000D3850" w:rsidP="000D3850">
            <w:pPr>
              <w:pStyle w:val="HSAGTableContracttext"/>
              <w:rPr>
                <w:iCs/>
              </w:rPr>
            </w:pPr>
            <w:r w:rsidRPr="001408D5">
              <w:rPr>
                <w:iCs/>
              </w:rPr>
              <w:t>42 CFR §438.408(b)(1)</w:t>
            </w:r>
          </w:p>
          <w:p w14:paraId="484E3F4C" w14:textId="77777777" w:rsidR="000D3850" w:rsidRPr="001408D5" w:rsidRDefault="000D3850" w:rsidP="000D3850">
            <w:pPr>
              <w:pStyle w:val="HSAGTableContracttext"/>
              <w:rPr>
                <w:i/>
              </w:rPr>
            </w:pPr>
            <w:r w:rsidRPr="001408D5">
              <w:t>42 CFR §457.1260(e)(12)</w:t>
            </w:r>
          </w:p>
          <w:p w14:paraId="7CDF3294" w14:textId="77777777" w:rsidR="000D3850" w:rsidRPr="001408D5" w:rsidRDefault="000D3850" w:rsidP="000D3850">
            <w:pPr>
              <w:pStyle w:val="HSAGTableContracttext"/>
              <w:rPr>
                <w:i/>
              </w:rPr>
            </w:pPr>
            <w:r w:rsidRPr="001408D5">
              <w:t xml:space="preserve"> Contract Schedule A—M(1)(e)(v)</w:t>
            </w:r>
          </w:p>
          <w:p w14:paraId="23920D2F" w14:textId="19A44E28" w:rsidR="000D3850" w:rsidRPr="00903F99" w:rsidRDefault="000D3850" w:rsidP="000D3850">
            <w:pPr>
              <w:pStyle w:val="HSAGTableContracttext"/>
              <w:keepNext/>
              <w:spacing w:before="0" w:after="0"/>
              <w:ind w:left="1440"/>
              <w:contextualSpacing/>
              <w:rPr>
                <w:i/>
                <w:szCs w:val="18"/>
              </w:rPr>
            </w:pPr>
            <w:r w:rsidRPr="001408D5">
              <w:t>Appeal and Grievance Resolution Processes Technical Requirement—VIII(D)(1)</w:t>
            </w:r>
          </w:p>
        </w:tc>
        <w:tc>
          <w:tcPr>
            <w:tcW w:w="6114" w:type="dxa"/>
            <w:gridSpan w:val="2"/>
            <w:shd w:val="clear" w:color="auto" w:fill="FFFFFF" w:themeFill="background1"/>
          </w:tcPr>
          <w:p w14:paraId="4F5707B5" w14:textId="77777777" w:rsidR="000D3850" w:rsidRPr="001408D5" w:rsidRDefault="000D3850" w:rsidP="000D3850">
            <w:pPr>
              <w:pStyle w:val="HSAGTableText"/>
              <w:contextualSpacing/>
              <w:rPr>
                <w:b/>
                <w:bCs/>
              </w:rPr>
            </w:pPr>
            <w:r w:rsidRPr="001408D5">
              <w:rPr>
                <w:b/>
                <w:bCs/>
              </w:rPr>
              <w:lastRenderedPageBreak/>
              <w:t>HSAG Required Evidence:</w:t>
            </w:r>
          </w:p>
          <w:p w14:paraId="58CF86EA" w14:textId="77777777" w:rsidR="000D3850" w:rsidRPr="001408D5" w:rsidRDefault="000D3850" w:rsidP="00595A8D">
            <w:pPr>
              <w:pStyle w:val="HSAGTableText"/>
              <w:numPr>
                <w:ilvl w:val="0"/>
                <w:numId w:val="19"/>
              </w:numPr>
              <w:contextualSpacing/>
            </w:pPr>
            <w:r w:rsidRPr="001408D5">
              <w:t>Policies and procedures</w:t>
            </w:r>
          </w:p>
          <w:p w14:paraId="2C77A8E2" w14:textId="77777777" w:rsidR="000D3850" w:rsidRPr="001408D5" w:rsidRDefault="000D3850" w:rsidP="00595A8D">
            <w:pPr>
              <w:pStyle w:val="HSAGTableText"/>
              <w:numPr>
                <w:ilvl w:val="0"/>
                <w:numId w:val="19"/>
              </w:numPr>
              <w:contextualSpacing/>
            </w:pPr>
            <w:r w:rsidRPr="001408D5">
              <w:t>Grievance resolution notice template or oral notification script</w:t>
            </w:r>
          </w:p>
          <w:p w14:paraId="0596B2D5" w14:textId="77777777" w:rsidR="000D3850" w:rsidRPr="001408D5" w:rsidRDefault="000D3850" w:rsidP="00595A8D">
            <w:pPr>
              <w:pStyle w:val="HSAGTableText"/>
              <w:numPr>
                <w:ilvl w:val="0"/>
                <w:numId w:val="19"/>
              </w:numPr>
              <w:contextualSpacing/>
            </w:pPr>
            <w:r w:rsidRPr="001408D5">
              <w:t>Tracking and reporting mechanisms</w:t>
            </w:r>
          </w:p>
          <w:p w14:paraId="015748DC" w14:textId="77777777" w:rsidR="000D3850" w:rsidRPr="001408D5" w:rsidRDefault="000D3850" w:rsidP="00595A8D">
            <w:pPr>
              <w:pStyle w:val="HSAGTableText"/>
              <w:numPr>
                <w:ilvl w:val="0"/>
                <w:numId w:val="19"/>
              </w:numPr>
              <w:contextualSpacing/>
            </w:pPr>
            <w:r w:rsidRPr="001408D5">
              <w:lastRenderedPageBreak/>
              <w:t>System screenshot of the field where the date of receipt of the grievance is documented</w:t>
            </w:r>
          </w:p>
          <w:p w14:paraId="0C92CB3C" w14:textId="77777777" w:rsidR="000D3850" w:rsidRPr="001408D5" w:rsidRDefault="000D3850" w:rsidP="00595A8D">
            <w:pPr>
              <w:pStyle w:val="HSAGTableText"/>
              <w:numPr>
                <w:ilvl w:val="0"/>
                <w:numId w:val="19"/>
              </w:numPr>
              <w:contextualSpacing/>
            </w:pPr>
            <w:r w:rsidRPr="001408D5">
              <w:t>System screenshot of the field where the date of oral/written resolution and the resolution notice/call notes are documented</w:t>
            </w:r>
          </w:p>
          <w:p w14:paraId="4FD48903" w14:textId="77777777" w:rsidR="000D3850" w:rsidRDefault="000D3850" w:rsidP="00595A8D">
            <w:pPr>
              <w:pStyle w:val="HSAGTableText"/>
              <w:numPr>
                <w:ilvl w:val="0"/>
                <w:numId w:val="19"/>
              </w:numPr>
              <w:contextualSpacing/>
            </w:pPr>
            <w:r w:rsidRPr="001408D5">
              <w:t>HSAG will also use data reported on the grievance universe file/MDHHS reporting template</w:t>
            </w:r>
          </w:p>
          <w:p w14:paraId="35107BD2" w14:textId="152537A6" w:rsidR="000D3850" w:rsidRPr="00903F99" w:rsidRDefault="000D3850" w:rsidP="00595A8D">
            <w:pPr>
              <w:pStyle w:val="HSAGTableText"/>
              <w:numPr>
                <w:ilvl w:val="0"/>
                <w:numId w:val="19"/>
              </w:numPr>
              <w:contextualSpacing/>
            </w:pPr>
            <w:r w:rsidRPr="001408D5">
              <w:t>HSAG will also use the results of the Grievances File Review</w:t>
            </w:r>
          </w:p>
        </w:tc>
        <w:tc>
          <w:tcPr>
            <w:tcW w:w="1426" w:type="dxa"/>
            <w:vMerge w:val="restart"/>
            <w:shd w:val="clear" w:color="auto" w:fill="FFFFFF" w:themeFill="background1"/>
          </w:tcPr>
          <w:p w14:paraId="698022AD" w14:textId="77777777" w:rsidR="000D3850" w:rsidRPr="001408D5" w:rsidRDefault="00000000" w:rsidP="000D3850">
            <w:pPr>
              <w:spacing w:before="60" w:after="0"/>
              <w:contextualSpacing/>
              <w:rPr>
                <w:sz w:val="22"/>
              </w:rPr>
            </w:pPr>
            <w:sdt>
              <w:sdtPr>
                <w:rPr>
                  <w:rFonts w:ascii="MS Gothic" w:eastAsia="MS Gothic" w:hAnsi="MS Gothic" w:hint="eastAsia"/>
                  <w:sz w:val="22"/>
                </w:rPr>
                <w:id w:val="-1572264784"/>
                <w14:checkbox>
                  <w14:checked w14:val="0"/>
                  <w14:checkedState w14:val="2612" w14:font="MS Gothic"/>
                  <w14:uncheckedState w14:val="2610" w14:font="MS Gothic"/>
                </w14:checkbox>
              </w:sdtPr>
              <w:sdtContent>
                <w:r w:rsidR="000D3850" w:rsidRPr="001408D5">
                  <w:rPr>
                    <w:rFonts w:ascii="MS Gothic" w:eastAsia="MS Gothic" w:hAnsi="MS Gothic" w:hint="eastAsia"/>
                    <w:sz w:val="22"/>
                  </w:rPr>
                  <w:t>☐</w:t>
                </w:r>
              </w:sdtContent>
            </w:sdt>
            <w:r w:rsidR="000D3850" w:rsidRPr="001408D5">
              <w:rPr>
                <w:sz w:val="22"/>
              </w:rPr>
              <w:t xml:space="preserve"> Met</w:t>
            </w:r>
          </w:p>
          <w:p w14:paraId="73BF29E6" w14:textId="77777777" w:rsidR="000D3850" w:rsidRPr="001408D5" w:rsidRDefault="00000000" w:rsidP="000D3850">
            <w:pPr>
              <w:spacing w:before="60" w:after="0"/>
              <w:contextualSpacing/>
              <w:rPr>
                <w:sz w:val="22"/>
              </w:rPr>
            </w:pPr>
            <w:sdt>
              <w:sdtPr>
                <w:rPr>
                  <w:rFonts w:ascii="MS Gothic" w:eastAsia="MS Gothic" w:hAnsi="MS Gothic" w:hint="eastAsia"/>
                  <w:sz w:val="22"/>
                </w:rPr>
                <w:id w:val="-90547069"/>
                <w14:checkbox>
                  <w14:checked w14:val="1"/>
                  <w14:checkedState w14:val="2612" w14:font="MS Gothic"/>
                  <w14:uncheckedState w14:val="2610" w14:font="MS Gothic"/>
                </w14:checkbox>
              </w:sdtPr>
              <w:sdtContent>
                <w:r w:rsidR="000D3850" w:rsidRPr="001408D5">
                  <w:rPr>
                    <w:rFonts w:ascii="MS Gothic" w:eastAsia="MS Gothic" w:hAnsi="MS Gothic" w:hint="eastAsia"/>
                    <w:sz w:val="22"/>
                  </w:rPr>
                  <w:t>☒</w:t>
                </w:r>
              </w:sdtContent>
            </w:sdt>
            <w:r w:rsidR="000D3850" w:rsidRPr="001408D5">
              <w:rPr>
                <w:sz w:val="22"/>
              </w:rPr>
              <w:t xml:space="preserve"> Not Met</w:t>
            </w:r>
          </w:p>
          <w:p w14:paraId="07B761B5" w14:textId="77777777" w:rsidR="000D3850" w:rsidRPr="001408D5" w:rsidRDefault="000D3850" w:rsidP="000D3850">
            <w:pPr>
              <w:spacing w:before="60" w:after="0"/>
              <w:contextualSpacing/>
              <w:rPr>
                <w:sz w:val="22"/>
              </w:rPr>
            </w:pPr>
            <w:r w:rsidRPr="001408D5">
              <w:rPr>
                <w:rFonts w:ascii="MS Gothic" w:eastAsia="MS Gothic" w:hAnsi="MS Gothic" w:hint="eastAsia"/>
                <w:sz w:val="22"/>
              </w:rPr>
              <w:t>☐</w:t>
            </w:r>
            <w:r w:rsidRPr="001408D5">
              <w:rPr>
                <w:sz w:val="22"/>
              </w:rPr>
              <w:t xml:space="preserve"> NA</w:t>
            </w:r>
          </w:p>
          <w:p w14:paraId="546B0686" w14:textId="77777777" w:rsidR="000D3850" w:rsidRPr="00903F99" w:rsidRDefault="000D3850" w:rsidP="000D3850">
            <w:pPr>
              <w:spacing w:before="0" w:after="0"/>
              <w:contextualSpacing/>
              <w:rPr>
                <w:sz w:val="22"/>
              </w:rPr>
            </w:pPr>
          </w:p>
        </w:tc>
      </w:tr>
      <w:tr w:rsidR="000D3850" w:rsidRPr="00903F99" w14:paraId="1B710DE6" w14:textId="77777777" w:rsidTr="00683305">
        <w:trPr>
          <w:trHeight w:val="374"/>
          <w:jc w:val="center"/>
        </w:trPr>
        <w:tc>
          <w:tcPr>
            <w:tcW w:w="6471" w:type="dxa"/>
            <w:gridSpan w:val="2"/>
            <w:vMerge/>
          </w:tcPr>
          <w:p w14:paraId="1E1A94EA" w14:textId="77777777" w:rsidR="000D3850" w:rsidRPr="00903F99" w:rsidRDefault="000D3850" w:rsidP="00595A8D">
            <w:pPr>
              <w:pStyle w:val="HSAGNumbers"/>
              <w:numPr>
                <w:ilvl w:val="0"/>
                <w:numId w:val="16"/>
              </w:numPr>
              <w:spacing w:before="0" w:after="0"/>
              <w:contextualSpacing/>
            </w:pPr>
          </w:p>
        </w:tc>
        <w:tc>
          <w:tcPr>
            <w:tcW w:w="6114" w:type="dxa"/>
            <w:gridSpan w:val="2"/>
            <w:shd w:val="clear" w:color="auto" w:fill="FFFFFF" w:themeFill="background1"/>
          </w:tcPr>
          <w:p w14:paraId="212C07B1" w14:textId="77777777" w:rsidR="000D3850" w:rsidRPr="001408D5" w:rsidRDefault="000D3850" w:rsidP="000D3850">
            <w:pPr>
              <w:pStyle w:val="HSAGTableText"/>
              <w:contextualSpacing/>
              <w:rPr>
                <w:b/>
                <w:bCs/>
              </w:rPr>
            </w:pPr>
            <w:r w:rsidRPr="001408D5">
              <w:rPr>
                <w:b/>
                <w:bCs/>
              </w:rPr>
              <w:t>Evidence as Submitted by the PIHP:</w:t>
            </w:r>
          </w:p>
          <w:p w14:paraId="312FC7DA" w14:textId="77777777" w:rsidR="000D3850" w:rsidRPr="001408D5" w:rsidRDefault="000D3850" w:rsidP="00595A8D">
            <w:pPr>
              <w:pStyle w:val="HSAGTableText"/>
              <w:numPr>
                <w:ilvl w:val="0"/>
                <w:numId w:val="26"/>
              </w:numPr>
              <w:contextualSpacing/>
            </w:pPr>
            <w:r w:rsidRPr="001408D5">
              <w:t>S9_E4_E6_E7_Grievance Tracking and Reporting</w:t>
            </w:r>
          </w:p>
          <w:p w14:paraId="1112B2AA" w14:textId="77777777" w:rsidR="000D3850" w:rsidRPr="001408D5" w:rsidRDefault="000D3850" w:rsidP="00595A8D">
            <w:pPr>
              <w:pStyle w:val="HSAGTableText"/>
              <w:numPr>
                <w:ilvl w:val="0"/>
                <w:numId w:val="26"/>
              </w:numPr>
              <w:contextualSpacing/>
            </w:pPr>
            <w:r w:rsidRPr="001408D5">
              <w:t xml:space="preserve">S9_E6_Grievance and Appeals </w:t>
            </w:r>
            <w:proofErr w:type="spellStart"/>
            <w:r w:rsidRPr="001408D5">
              <w:t>policy_page</w:t>
            </w:r>
            <w:proofErr w:type="spellEnd"/>
            <w:r w:rsidRPr="001408D5">
              <w:t xml:space="preserve"> 7</w:t>
            </w:r>
          </w:p>
          <w:p w14:paraId="155CEDA4" w14:textId="77777777" w:rsidR="000D3850" w:rsidRPr="001408D5" w:rsidRDefault="000D3850" w:rsidP="00595A8D">
            <w:pPr>
              <w:pStyle w:val="HSAGTableText"/>
              <w:numPr>
                <w:ilvl w:val="0"/>
                <w:numId w:val="26"/>
              </w:numPr>
              <w:contextualSpacing/>
            </w:pPr>
            <w:r w:rsidRPr="001408D5">
              <w:t>S9_E6_Grievance Resolution Template</w:t>
            </w:r>
          </w:p>
          <w:p w14:paraId="291563CD" w14:textId="77777777" w:rsidR="000D3850" w:rsidRPr="001408D5" w:rsidRDefault="000D3850" w:rsidP="00595A8D">
            <w:pPr>
              <w:pStyle w:val="HSAGTableText"/>
              <w:numPr>
                <w:ilvl w:val="0"/>
                <w:numId w:val="26"/>
              </w:numPr>
              <w:contextualSpacing/>
            </w:pPr>
            <w:r w:rsidRPr="001408D5">
              <w:t>S9_E6_Screenshot_call notes documented</w:t>
            </w:r>
          </w:p>
          <w:p w14:paraId="5276C6AF" w14:textId="77777777" w:rsidR="000D3850" w:rsidRDefault="000D3850" w:rsidP="00595A8D">
            <w:pPr>
              <w:pStyle w:val="HSAGTableText"/>
              <w:numPr>
                <w:ilvl w:val="0"/>
                <w:numId w:val="26"/>
              </w:numPr>
              <w:contextualSpacing/>
            </w:pPr>
            <w:r w:rsidRPr="001408D5">
              <w:t>S9_E6_Screenshot_DOR Grievance</w:t>
            </w:r>
          </w:p>
          <w:p w14:paraId="7CCF97D7" w14:textId="0F4B2FD5" w:rsidR="000D3850" w:rsidRPr="00903F99" w:rsidRDefault="000D3850" w:rsidP="00595A8D">
            <w:pPr>
              <w:pStyle w:val="HSAGTableText"/>
              <w:numPr>
                <w:ilvl w:val="0"/>
                <w:numId w:val="26"/>
              </w:numPr>
              <w:contextualSpacing/>
            </w:pPr>
            <w:r w:rsidRPr="001408D5">
              <w:t>S9_E6_Screenshot Resolution Date</w:t>
            </w:r>
          </w:p>
        </w:tc>
        <w:tc>
          <w:tcPr>
            <w:tcW w:w="1426" w:type="dxa"/>
            <w:vMerge/>
            <w:shd w:val="clear" w:color="auto" w:fill="FFFFFF" w:themeFill="background1"/>
          </w:tcPr>
          <w:p w14:paraId="43011435" w14:textId="77777777" w:rsidR="000D3850" w:rsidRPr="00903F99" w:rsidRDefault="000D3850" w:rsidP="000D3850">
            <w:pPr>
              <w:spacing w:before="0" w:after="0"/>
              <w:contextualSpacing/>
              <w:rPr>
                <w:sz w:val="22"/>
              </w:rPr>
            </w:pPr>
          </w:p>
        </w:tc>
      </w:tr>
      <w:tr w:rsidR="000D3850" w:rsidRPr="00903F99" w14:paraId="303F8078" w14:textId="77777777" w:rsidTr="00683305">
        <w:trPr>
          <w:trHeight w:val="374"/>
          <w:jc w:val="center"/>
        </w:trPr>
        <w:tc>
          <w:tcPr>
            <w:tcW w:w="14011" w:type="dxa"/>
            <w:gridSpan w:val="5"/>
            <w:vAlign w:val="center"/>
          </w:tcPr>
          <w:p w14:paraId="5B2EDF75" w14:textId="4F14B603" w:rsidR="000D3850" w:rsidRPr="00903F99" w:rsidRDefault="000D3850" w:rsidP="000D3850">
            <w:pPr>
              <w:pStyle w:val="HSAGTableText"/>
              <w:spacing w:before="0" w:after="0"/>
            </w:pPr>
            <w:r w:rsidRPr="001408D5">
              <w:rPr>
                <w:b/>
              </w:rPr>
              <w:t>PIHP Description of Process:</w:t>
            </w:r>
            <w:r w:rsidRPr="001408D5">
              <w:t xml:space="preserve"> The PIHP resolves each grievance and provides </w:t>
            </w:r>
            <w:r w:rsidRPr="001408D5">
              <w:rPr>
                <w:i/>
                <w:iCs/>
              </w:rPr>
              <w:t>written</w:t>
            </w:r>
            <w:r w:rsidRPr="001408D5">
              <w:t xml:space="preserve"> notice of resolution, as expeditiously as the member’s health condition requires, within MDHHS-established time frames that do not exceed the time frames specified, which will not exceed 90 days from date of receipt. </w:t>
            </w:r>
          </w:p>
        </w:tc>
      </w:tr>
      <w:tr w:rsidR="000D3850" w:rsidRPr="0026679F" w14:paraId="49A6D363" w14:textId="77777777" w:rsidTr="00683305">
        <w:trPr>
          <w:trHeight w:val="374"/>
          <w:jc w:val="center"/>
        </w:trPr>
        <w:tc>
          <w:tcPr>
            <w:tcW w:w="14011" w:type="dxa"/>
            <w:gridSpan w:val="5"/>
            <w:tcBorders>
              <w:bottom w:val="single" w:sz="4" w:space="0" w:color="000000"/>
            </w:tcBorders>
            <w:vAlign w:val="center"/>
          </w:tcPr>
          <w:p w14:paraId="68976C93" w14:textId="77777777" w:rsidR="000D3850" w:rsidRPr="001408D5" w:rsidRDefault="000D3850" w:rsidP="000D3850">
            <w:pPr>
              <w:pStyle w:val="HSAGTableText"/>
              <w:rPr>
                <w:color w:val="auto"/>
              </w:rPr>
            </w:pPr>
            <w:r w:rsidRPr="001408D5">
              <w:rPr>
                <w:b/>
                <w:color w:val="auto"/>
              </w:rPr>
              <w:t>HSAG Findings:</w:t>
            </w:r>
            <w:r w:rsidRPr="001408D5">
              <w:rPr>
                <w:color w:val="auto"/>
              </w:rPr>
              <w:t xml:space="preserve"> The case file review confirmed that for three grievances, the member was requesting a different provider. While the member was assigned to a new provider in all cases, the record did not include clear documentation that the grievances were reviewed. The cases documented the reason for why the member was requesting a new provider (i.e., provider was not a good fit, member needed more convenient appointment times, member wanted a provider with more knowledge) but there was no actual review into the basis of the complaint (i.e., was the provider providing appropriate care, did the provider have adequate appointment times available, did the provider have the appropriate credentials to treat the member and rendered treatment that met acceptable standards of care). During the site review, the PIHP </w:t>
            </w:r>
            <w:r>
              <w:rPr>
                <w:color w:val="auto"/>
              </w:rPr>
              <w:t xml:space="preserve">staff members </w:t>
            </w:r>
            <w:r w:rsidRPr="001408D5">
              <w:rPr>
                <w:color w:val="auto"/>
              </w:rPr>
              <w:t xml:space="preserve">explained that </w:t>
            </w:r>
            <w:r>
              <w:rPr>
                <w:color w:val="auto"/>
              </w:rPr>
              <w:t>the PIHP’s</w:t>
            </w:r>
            <w:r w:rsidRPr="001408D5">
              <w:rPr>
                <w:color w:val="auto"/>
              </w:rPr>
              <w:t xml:space="preserve"> expectation is for the grievance reviewer to reach out to the involved staff member and supervisor to ensure the member’s reason for wanting a new provider is fully addressed. However, this documentation was not included in the case file. As part of the grievance review, the PIHP should request specific details from the member, and collect and review medical records and statements from the provider to determine the validity of the member’s complaint. Should a failure in the system be identified (e.g., lack of appointment availability, treatment below acceptable standards of care), corrective actions to prevent a reoccurrence should be taken. Of note, the PIHP received a similar finding during the SFY 2022 compliance review.</w:t>
            </w:r>
          </w:p>
          <w:p w14:paraId="0F3043D4" w14:textId="142D3B4A" w:rsidR="000D3850" w:rsidRPr="0026679F" w:rsidRDefault="000D3850" w:rsidP="000D3850">
            <w:pPr>
              <w:pStyle w:val="HSAGTableText"/>
              <w:spacing w:before="0"/>
            </w:pPr>
            <w:r w:rsidRPr="001408D5">
              <w:rPr>
                <w:b/>
                <w:bCs/>
                <w:color w:val="auto"/>
              </w:rPr>
              <w:lastRenderedPageBreak/>
              <w:t>Recommendations:</w:t>
            </w:r>
            <w:r w:rsidRPr="001408D5">
              <w:rPr>
                <w:color w:val="auto"/>
              </w:rPr>
              <w:t xml:space="preserve"> HSAG has recommended to MDHHS to establish an expedited review process (e.g., 72-hour resolution time frame) for when a grievance resolution time frame should be completed on an expedited basis (e.g., clinically urgent grievances, grievances related to a denied request for an expedited appeal, grievances related to resolution extension time frames). HSAG recommends that the PIHP implement any future guidance or policy changes implemented by MDHHS. </w:t>
            </w:r>
            <w:r w:rsidRPr="001408D5">
              <w:t xml:space="preserve">If the PIHP does not demonstrate adequate implementation of HSAG’s recommendations during future compliance reviews, the PIHP may receive a </w:t>
            </w:r>
            <w:r w:rsidRPr="001408D5">
              <w:rPr>
                <w:i/>
                <w:iCs/>
              </w:rPr>
              <w:t>Not Met</w:t>
            </w:r>
            <w:r w:rsidRPr="001408D5">
              <w:t xml:space="preserve"> score.</w:t>
            </w:r>
          </w:p>
        </w:tc>
      </w:tr>
      <w:tr w:rsidR="000D3850" w:rsidRPr="0026679F" w14:paraId="7C4CFF1D" w14:textId="77777777" w:rsidTr="00683305">
        <w:trPr>
          <w:trHeight w:val="374"/>
          <w:jc w:val="center"/>
        </w:trPr>
        <w:tc>
          <w:tcPr>
            <w:tcW w:w="14011" w:type="dxa"/>
            <w:gridSpan w:val="5"/>
            <w:tcBorders>
              <w:top w:val="single" w:sz="4" w:space="0" w:color="000000"/>
              <w:bottom w:val="single" w:sz="4" w:space="0" w:color="auto"/>
            </w:tcBorders>
            <w:vAlign w:val="center"/>
          </w:tcPr>
          <w:p w14:paraId="20085FB9" w14:textId="26485156" w:rsidR="000D3850" w:rsidRPr="0026679F" w:rsidRDefault="000D3850" w:rsidP="000D3850">
            <w:pPr>
              <w:pStyle w:val="HSAGTableText"/>
              <w:rPr>
                <w:b/>
              </w:rPr>
            </w:pPr>
            <w:r w:rsidRPr="001408D5">
              <w:rPr>
                <w:b/>
              </w:rPr>
              <w:lastRenderedPageBreak/>
              <w:t>Required Actions:</w:t>
            </w:r>
            <w:r w:rsidRPr="001408D5">
              <w:t xml:space="preserve"> The PIHP must fully review and resolve each grievance. The review process and results of the review must be documented in each record.</w:t>
            </w:r>
          </w:p>
        </w:tc>
      </w:tr>
      <w:tr w:rsidR="000D3850" w:rsidRPr="00D16F05" w14:paraId="366B25C1" w14:textId="77777777" w:rsidTr="00683305">
        <w:tblPrEx>
          <w:tblCellMar>
            <w:left w:w="108" w:type="dxa"/>
            <w:right w:w="108" w:type="dxa"/>
          </w:tblCellMar>
        </w:tblPrEx>
        <w:trPr>
          <w:trHeight w:val="374"/>
          <w:jc w:val="center"/>
        </w:trPr>
        <w:tc>
          <w:tcPr>
            <w:tcW w:w="14011" w:type="dxa"/>
            <w:gridSpan w:val="5"/>
            <w:tcBorders>
              <w:top w:val="single" w:sz="4" w:space="0" w:color="auto"/>
              <w:bottom w:val="single" w:sz="4" w:space="0" w:color="000000" w:themeColor="text1"/>
            </w:tcBorders>
            <w:shd w:val="clear" w:color="auto" w:fill="F79548" w:themeFill="accent4"/>
          </w:tcPr>
          <w:p w14:paraId="30E4039B" w14:textId="77777777" w:rsidR="000D3850" w:rsidRPr="00D16F05" w:rsidRDefault="000D3850" w:rsidP="000D3850">
            <w:pPr>
              <w:pStyle w:val="HSAGTableText"/>
              <w:keepNext/>
              <w:contextualSpacing/>
              <w:rPr>
                <w:b/>
              </w:rPr>
            </w:pPr>
            <w:r>
              <w:rPr>
                <w:b/>
              </w:rPr>
              <w:t>PIHP Corrective Action Plan</w:t>
            </w:r>
          </w:p>
        </w:tc>
      </w:tr>
      <w:tr w:rsidR="000D3850" w:rsidRPr="00984D92" w14:paraId="1A60B396" w14:textId="77777777" w:rsidTr="00683305">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47942BCA" w14:textId="6CB6C82B" w:rsidR="000D3850" w:rsidRPr="00984D92" w:rsidRDefault="000D3850" w:rsidP="000D3850">
            <w:pPr>
              <w:pStyle w:val="HSAGTableText"/>
              <w:contextualSpacing/>
              <w:rPr>
                <w:bCs/>
              </w:rPr>
            </w:pPr>
            <w:r>
              <w:rPr>
                <w:b/>
              </w:rPr>
              <w:t>Root Cause Analysis:</w:t>
            </w:r>
            <w:r w:rsidRPr="003F5489">
              <w:rPr>
                <w:bCs/>
              </w:rPr>
              <w:t xml:space="preserve"> </w:t>
            </w:r>
            <w:r w:rsidR="009075F9">
              <w:rPr>
                <w:bCs/>
              </w:rPr>
              <w:t>Lack of general guidance and direction on how to establish an expedited review process.</w:t>
            </w:r>
          </w:p>
        </w:tc>
      </w:tr>
      <w:tr w:rsidR="000D3850" w:rsidRPr="00FC2C0F" w14:paraId="56B24027" w14:textId="77777777" w:rsidTr="00683305">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0AD634BF" w14:textId="6AF112D9" w:rsidR="000D3850" w:rsidRPr="00FC2C0F" w:rsidRDefault="000D3850" w:rsidP="000D3850">
            <w:pPr>
              <w:pStyle w:val="HSAGTableText"/>
              <w:contextualSpacing/>
              <w:rPr>
                <w:bCs/>
              </w:rPr>
            </w:pPr>
            <w:r>
              <w:rPr>
                <w:b/>
              </w:rPr>
              <w:t>PIHP Remediation Plan</w:t>
            </w:r>
            <w:r w:rsidRPr="00B30934">
              <w:rPr>
                <w:b/>
              </w:rPr>
              <w:t>:</w:t>
            </w:r>
            <w:r>
              <w:rPr>
                <w:bCs/>
              </w:rPr>
              <w:t xml:space="preserve"> </w:t>
            </w:r>
            <w:r w:rsidR="009075F9">
              <w:rPr>
                <w:bCs/>
              </w:rPr>
              <w:t xml:space="preserve">The NMRE will follow established expedited review process when the grievance resolution time frame should be completed on an expedited basis. Any future guidance from MDHHS will be reflected in an update to NMRE policies and/or guidance. Furthermore, the NMRE will provide </w:t>
            </w:r>
            <w:proofErr w:type="gramStart"/>
            <w:r w:rsidR="009075F9">
              <w:rPr>
                <w:bCs/>
              </w:rPr>
              <w:t>region wide</w:t>
            </w:r>
            <w:proofErr w:type="gramEnd"/>
            <w:r w:rsidR="009075F9">
              <w:rPr>
                <w:bCs/>
              </w:rPr>
              <w:t xml:space="preserve"> training regarding grievance and appeal requirements, including the expedited review process.</w:t>
            </w:r>
          </w:p>
        </w:tc>
      </w:tr>
      <w:tr w:rsidR="000D3850" w:rsidRPr="00FC2C0F" w14:paraId="244113D6" w14:textId="77777777" w:rsidTr="00683305">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0F53FDED" w14:textId="0FDA5D81" w:rsidR="000D3850" w:rsidRPr="00FC2C0F" w:rsidRDefault="000D3850" w:rsidP="000D3850">
            <w:pPr>
              <w:pStyle w:val="HSAGTableText"/>
              <w:contextualSpacing/>
              <w:rPr>
                <w:bCs/>
              </w:rPr>
            </w:pPr>
            <w:r w:rsidRPr="00B30934">
              <w:rPr>
                <w:b/>
              </w:rPr>
              <w:t>Responsible Individual(s):</w:t>
            </w:r>
            <w:r>
              <w:rPr>
                <w:bCs/>
              </w:rPr>
              <w:t xml:space="preserve"> </w:t>
            </w:r>
            <w:r w:rsidR="009075F9">
              <w:rPr>
                <w:bCs/>
              </w:rPr>
              <w:t>Brie Molaison, NMRE Compliance and Customer Services Officer</w:t>
            </w:r>
          </w:p>
        </w:tc>
      </w:tr>
      <w:tr w:rsidR="009075F9" w:rsidRPr="00FC2C0F" w14:paraId="53EE55E1" w14:textId="77777777" w:rsidTr="00683305">
        <w:tblPrEx>
          <w:tblCellMar>
            <w:left w:w="108" w:type="dxa"/>
            <w:right w:w="108" w:type="dxa"/>
          </w:tblCellMar>
        </w:tblPrEx>
        <w:trPr>
          <w:trHeight w:val="374"/>
          <w:jc w:val="center"/>
        </w:trPr>
        <w:tc>
          <w:tcPr>
            <w:tcW w:w="14011" w:type="dxa"/>
            <w:gridSpan w:val="5"/>
            <w:tcBorders>
              <w:top w:val="single" w:sz="4" w:space="0" w:color="000000"/>
              <w:bottom w:val="single" w:sz="4" w:space="0" w:color="auto"/>
            </w:tcBorders>
          </w:tcPr>
          <w:p w14:paraId="6FA2CF0F" w14:textId="2123F43F" w:rsidR="009075F9" w:rsidRPr="00FC2C0F" w:rsidRDefault="009075F9" w:rsidP="009075F9">
            <w:pPr>
              <w:pStyle w:val="HSAGTableText"/>
              <w:contextualSpacing/>
              <w:rPr>
                <w:bCs/>
              </w:rPr>
            </w:pPr>
            <w:r w:rsidRPr="00B30934">
              <w:rPr>
                <w:b/>
              </w:rPr>
              <w:t>Timeline:</w:t>
            </w:r>
            <w:r>
              <w:rPr>
                <w:bCs/>
              </w:rPr>
              <w:t xml:space="preserve"> Region wide training will take place by March 2026. Expedited review process will be dependent on MDHHS. </w:t>
            </w:r>
          </w:p>
        </w:tc>
      </w:tr>
      <w:tr w:rsidR="009075F9" w14:paraId="4B9A0CB0" w14:textId="77777777" w:rsidTr="00683305">
        <w:tblPrEx>
          <w:tblCellMar>
            <w:left w:w="108" w:type="dxa"/>
            <w:right w:w="108" w:type="dxa"/>
          </w:tblCellMar>
        </w:tblPrEx>
        <w:trPr>
          <w:trHeight w:val="374"/>
          <w:jc w:val="center"/>
        </w:trPr>
        <w:tc>
          <w:tcPr>
            <w:tcW w:w="10432" w:type="dxa"/>
            <w:gridSpan w:val="3"/>
            <w:tcBorders>
              <w:top w:val="single" w:sz="4" w:space="0" w:color="auto"/>
              <w:bottom w:val="single" w:sz="18" w:space="0" w:color="00549E" w:themeColor="text2"/>
            </w:tcBorders>
            <w:shd w:val="clear" w:color="auto" w:fill="F2F2F2" w:themeFill="background1" w:themeFillShade="F2"/>
          </w:tcPr>
          <w:p w14:paraId="79617413" w14:textId="50336FFA" w:rsidR="00151CE4" w:rsidRPr="00FC2C0F" w:rsidRDefault="009075F9" w:rsidP="009075F9">
            <w:pPr>
              <w:pStyle w:val="HSAGTableText"/>
              <w:contextualSpacing/>
              <w:rPr>
                <w:bCs/>
              </w:rPr>
            </w:pPr>
            <w:r>
              <w:rPr>
                <w:b/>
              </w:rPr>
              <w:t>MDHHS/HSAG Response:</w:t>
            </w:r>
            <w:r>
              <w:rPr>
                <w:bCs/>
              </w:rPr>
              <w:t xml:space="preserve"> </w:t>
            </w:r>
            <w:r w:rsidR="009E2556" w:rsidRPr="009E2556">
              <w:rPr>
                <w:bCs/>
              </w:rPr>
              <w:t xml:space="preserve">While the PIHP’s remediation plan focused on HSAG’s recommendation, the PIHP must also ensure it has </w:t>
            </w:r>
            <w:r w:rsidR="009E2556">
              <w:rPr>
                <w:bCs/>
              </w:rPr>
              <w:t xml:space="preserve">an adequate process for documenting within the grievance record the comprehensive review that occurred to address the grievance. </w:t>
            </w:r>
            <w:r w:rsidR="009E2556" w:rsidRPr="009E2556">
              <w:rPr>
                <w:bCs/>
              </w:rPr>
              <w:t xml:space="preserve">While no additional information is required to be submitted at this time, the PIHP must proceed with </w:t>
            </w:r>
            <w:proofErr w:type="gramStart"/>
            <w:r w:rsidR="009E2556" w:rsidRPr="009E2556">
              <w:rPr>
                <w:bCs/>
              </w:rPr>
              <w:t>timely</w:t>
            </w:r>
            <w:proofErr w:type="gramEnd"/>
            <w:r w:rsidR="009E2556" w:rsidRPr="009E2556">
              <w:rPr>
                <w:bCs/>
              </w:rPr>
              <w:t xml:space="preserve"> implementation of its action plans and HSAG’s recommendations. Please note, an </w:t>
            </w:r>
            <w:r w:rsidR="009E2556" w:rsidRPr="009E2556">
              <w:rPr>
                <w:bCs/>
                <w:i/>
                <w:iCs/>
              </w:rPr>
              <w:t xml:space="preserve">Accepted </w:t>
            </w:r>
            <w:proofErr w:type="gramStart"/>
            <w:r w:rsidR="009E2556" w:rsidRPr="009E2556">
              <w:rPr>
                <w:bCs/>
                <w:i/>
                <w:iCs/>
              </w:rPr>
              <w:t>With</w:t>
            </w:r>
            <w:proofErr w:type="gramEnd"/>
            <w:r w:rsidR="009E2556" w:rsidRPr="009E2556">
              <w:rPr>
                <w:bCs/>
                <w:i/>
                <w:iCs/>
              </w:rPr>
              <w:t xml:space="preserve"> Recommendations</w:t>
            </w:r>
            <w:r w:rsidR="009E2556" w:rsidRPr="009E2556">
              <w:rPr>
                <w:bCs/>
              </w:rPr>
              <w:t xml:space="preserve"> designation is not a guarantee of future compliance. Implementation of the PIHP’s action plans and demonstration of compliance will be assessed during future compliance review activities.</w:t>
            </w:r>
          </w:p>
        </w:tc>
        <w:tc>
          <w:tcPr>
            <w:tcW w:w="3579" w:type="dxa"/>
            <w:gridSpan w:val="2"/>
            <w:tcBorders>
              <w:top w:val="single" w:sz="4" w:space="0" w:color="auto"/>
              <w:bottom w:val="single" w:sz="18" w:space="0" w:color="00549E" w:themeColor="text2"/>
            </w:tcBorders>
            <w:shd w:val="clear" w:color="auto" w:fill="F2F2F2" w:themeFill="background1" w:themeFillShade="F2"/>
          </w:tcPr>
          <w:p w14:paraId="2AAEE6DA" w14:textId="77777777" w:rsidR="009075F9" w:rsidRPr="00C123EE" w:rsidRDefault="00000000" w:rsidP="009075F9">
            <w:pPr>
              <w:pStyle w:val="HSAGTableText"/>
              <w:contextualSpacing/>
              <w:rPr>
                <w:bCs/>
              </w:rPr>
            </w:pPr>
            <w:sdt>
              <w:sdtPr>
                <w:rPr>
                  <w:bCs/>
                </w:rPr>
                <w:id w:val="-216898281"/>
                <w14:checkbox>
                  <w14:checked w14:val="0"/>
                  <w14:checkedState w14:val="2612" w14:font="MS Gothic"/>
                  <w14:uncheckedState w14:val="2610" w14:font="MS Gothic"/>
                </w14:checkbox>
              </w:sdtPr>
              <w:sdtContent>
                <w:r w:rsidR="009075F9" w:rsidRPr="00C123EE">
                  <w:rPr>
                    <w:rFonts w:ascii="MS Gothic" w:eastAsia="MS Gothic" w:hAnsi="MS Gothic" w:hint="eastAsia"/>
                    <w:bCs/>
                  </w:rPr>
                  <w:t>☐</w:t>
                </w:r>
              </w:sdtContent>
            </w:sdt>
            <w:r w:rsidR="009075F9" w:rsidRPr="00C123EE">
              <w:rPr>
                <w:bCs/>
              </w:rPr>
              <w:t xml:space="preserve"> Accepted</w:t>
            </w:r>
          </w:p>
          <w:p w14:paraId="12DB0D0B" w14:textId="204884A6" w:rsidR="009075F9" w:rsidRPr="00C123EE" w:rsidRDefault="00000000" w:rsidP="009075F9">
            <w:pPr>
              <w:pStyle w:val="HSAGTableText"/>
              <w:contextualSpacing/>
              <w:rPr>
                <w:bCs/>
              </w:rPr>
            </w:pPr>
            <w:sdt>
              <w:sdtPr>
                <w:rPr>
                  <w:bCs/>
                </w:rPr>
                <w:id w:val="-2068017314"/>
                <w14:checkbox>
                  <w14:checked w14:val="1"/>
                  <w14:checkedState w14:val="2612" w14:font="MS Gothic"/>
                  <w14:uncheckedState w14:val="2610" w14:font="MS Gothic"/>
                </w14:checkbox>
              </w:sdtPr>
              <w:sdtContent>
                <w:r w:rsidR="009E2556">
                  <w:rPr>
                    <w:rFonts w:ascii="MS Gothic" w:eastAsia="MS Gothic" w:hAnsi="MS Gothic" w:hint="eastAsia"/>
                    <w:bCs/>
                  </w:rPr>
                  <w:t>☒</w:t>
                </w:r>
              </w:sdtContent>
            </w:sdt>
            <w:r w:rsidR="009075F9" w:rsidRPr="00C123EE">
              <w:rPr>
                <w:bCs/>
              </w:rPr>
              <w:t xml:space="preserve"> Accepted </w:t>
            </w:r>
            <w:r w:rsidR="009075F9">
              <w:rPr>
                <w:bCs/>
              </w:rPr>
              <w:t>W</w:t>
            </w:r>
            <w:r w:rsidR="009075F9" w:rsidRPr="00C123EE">
              <w:rPr>
                <w:bCs/>
              </w:rPr>
              <w:t>ith Recommendations</w:t>
            </w:r>
          </w:p>
          <w:p w14:paraId="78901C49" w14:textId="236A6752" w:rsidR="009075F9" w:rsidRDefault="00000000" w:rsidP="009075F9">
            <w:pPr>
              <w:pStyle w:val="HSAGTableText"/>
              <w:contextualSpacing/>
              <w:rPr>
                <w:b/>
              </w:rPr>
            </w:pPr>
            <w:sdt>
              <w:sdtPr>
                <w:rPr>
                  <w:bCs/>
                </w:rPr>
                <w:id w:val="1936707052"/>
                <w14:checkbox>
                  <w14:checked w14:val="0"/>
                  <w14:checkedState w14:val="2612" w14:font="MS Gothic"/>
                  <w14:uncheckedState w14:val="2610" w14:font="MS Gothic"/>
                </w14:checkbox>
              </w:sdtPr>
              <w:sdtContent>
                <w:r w:rsidR="009E2556">
                  <w:rPr>
                    <w:rFonts w:ascii="MS Gothic" w:eastAsia="MS Gothic" w:hAnsi="MS Gothic" w:hint="eastAsia"/>
                    <w:bCs/>
                  </w:rPr>
                  <w:t>☐</w:t>
                </w:r>
              </w:sdtContent>
            </w:sdt>
            <w:r w:rsidR="009075F9" w:rsidRPr="00C123EE">
              <w:rPr>
                <w:bCs/>
              </w:rPr>
              <w:t xml:space="preserve"> Not Accepted</w:t>
            </w:r>
          </w:p>
        </w:tc>
      </w:tr>
      <w:tr w:rsidR="009075F9" w:rsidRPr="00903F99" w14:paraId="1F2C77F9" w14:textId="77777777" w:rsidTr="00683305">
        <w:trPr>
          <w:trHeight w:val="374"/>
          <w:jc w:val="center"/>
        </w:trPr>
        <w:tc>
          <w:tcPr>
            <w:tcW w:w="6471" w:type="dxa"/>
            <w:gridSpan w:val="2"/>
            <w:vMerge w:val="restart"/>
          </w:tcPr>
          <w:p w14:paraId="3CD780EA" w14:textId="77777777" w:rsidR="009075F9" w:rsidRPr="001408D5" w:rsidRDefault="009075F9" w:rsidP="009075F9">
            <w:pPr>
              <w:pStyle w:val="ListNoNum"/>
              <w:rPr>
                <w:rFonts w:eastAsiaTheme="minorHAnsi"/>
              </w:rPr>
            </w:pPr>
            <w:r w:rsidRPr="001408D5">
              <w:rPr>
                <w:spacing w:val="-4"/>
              </w:rPr>
              <w:t>8.</w:t>
            </w:r>
            <w:r w:rsidRPr="001408D5">
              <w:rPr>
                <w:spacing w:val="-4"/>
              </w:rPr>
              <w:tab/>
            </w:r>
            <w:r w:rsidRPr="001408D5">
              <w:rPr>
                <w:rFonts w:eastAsiaTheme="minorHAnsi"/>
              </w:rPr>
              <w:t xml:space="preserve">If the PIHP extends the grievance resolution time frame not at the request of the </w:t>
            </w:r>
            <w:proofErr w:type="gramStart"/>
            <w:r w:rsidRPr="001408D5">
              <w:rPr>
                <w:rFonts w:eastAsiaTheme="minorHAnsi"/>
              </w:rPr>
              <w:t>member</w:t>
            </w:r>
            <w:proofErr w:type="gramEnd"/>
            <w:r w:rsidRPr="001408D5">
              <w:rPr>
                <w:rFonts w:eastAsiaTheme="minorHAnsi"/>
              </w:rPr>
              <w:t xml:space="preserve">, it completes </w:t>
            </w:r>
            <w:proofErr w:type="gramStart"/>
            <w:r w:rsidRPr="001408D5">
              <w:rPr>
                <w:rFonts w:eastAsiaTheme="minorHAnsi"/>
              </w:rPr>
              <w:t>all of</w:t>
            </w:r>
            <w:proofErr w:type="gramEnd"/>
            <w:r w:rsidRPr="001408D5">
              <w:rPr>
                <w:rFonts w:eastAsiaTheme="minorHAnsi"/>
              </w:rPr>
              <w:t xml:space="preserve"> the following:</w:t>
            </w:r>
          </w:p>
          <w:p w14:paraId="3279769D" w14:textId="77777777" w:rsidR="009075F9" w:rsidRPr="001408D5" w:rsidRDefault="009075F9" w:rsidP="009075F9">
            <w:pPr>
              <w:pStyle w:val="ListNoNum2"/>
              <w:rPr>
                <w:rFonts w:eastAsiaTheme="minorHAnsi"/>
              </w:rPr>
            </w:pPr>
            <w:r w:rsidRPr="001408D5">
              <w:t xml:space="preserve">a. </w:t>
            </w:r>
            <w:r w:rsidRPr="001408D5">
              <w:tab/>
            </w:r>
            <w:r w:rsidRPr="001408D5">
              <w:rPr>
                <w:rFonts w:eastAsiaTheme="minorHAnsi"/>
              </w:rPr>
              <w:t>Makes reasonable efforts to give the member prompt oral notice of the delay.</w:t>
            </w:r>
          </w:p>
          <w:p w14:paraId="78C82432" w14:textId="77777777" w:rsidR="009075F9" w:rsidRPr="001408D5" w:rsidRDefault="009075F9" w:rsidP="009075F9">
            <w:pPr>
              <w:pStyle w:val="ListNoNum2"/>
              <w:rPr>
                <w:rFonts w:eastAsiaTheme="minorHAnsi"/>
              </w:rPr>
            </w:pPr>
            <w:r w:rsidRPr="001408D5">
              <w:t>b</w:t>
            </w:r>
            <w:proofErr w:type="gramStart"/>
            <w:r w:rsidRPr="001408D5">
              <w:t xml:space="preserve">. </w:t>
            </w:r>
            <w:r w:rsidRPr="001408D5">
              <w:tab/>
            </w:r>
            <w:r w:rsidRPr="001408D5">
              <w:rPr>
                <w:rFonts w:eastAsiaTheme="minorHAnsi"/>
              </w:rPr>
              <w:t>Within</w:t>
            </w:r>
            <w:proofErr w:type="gramEnd"/>
            <w:r w:rsidRPr="001408D5">
              <w:rPr>
                <w:rFonts w:eastAsiaTheme="minorHAnsi"/>
              </w:rPr>
              <w:t xml:space="preserve"> two calendar days </w:t>
            </w:r>
            <w:proofErr w:type="gramStart"/>
            <w:r w:rsidRPr="001408D5">
              <w:rPr>
                <w:rFonts w:eastAsiaTheme="minorHAnsi"/>
              </w:rPr>
              <w:t>gives the member</w:t>
            </w:r>
            <w:proofErr w:type="gramEnd"/>
            <w:r w:rsidRPr="001408D5">
              <w:rPr>
                <w:rFonts w:eastAsiaTheme="minorHAnsi"/>
              </w:rPr>
              <w:t xml:space="preserve"> written notice of the reason for the decision to extend the time frame and </w:t>
            </w:r>
            <w:r w:rsidRPr="001408D5">
              <w:rPr>
                <w:rFonts w:eastAsiaTheme="minorHAnsi"/>
              </w:rPr>
              <w:lastRenderedPageBreak/>
              <w:t>informs the member of the right to file a grievance if he or she disagrees with that decision.</w:t>
            </w:r>
          </w:p>
          <w:p w14:paraId="31219717" w14:textId="77777777" w:rsidR="009075F9" w:rsidRPr="001408D5" w:rsidRDefault="009075F9" w:rsidP="009075F9">
            <w:pPr>
              <w:pStyle w:val="ListParagraph"/>
              <w:spacing w:before="40" w:after="40"/>
              <w:jc w:val="right"/>
              <w:rPr>
                <w:iCs/>
                <w:sz w:val="18"/>
                <w:szCs w:val="18"/>
              </w:rPr>
            </w:pPr>
          </w:p>
          <w:p w14:paraId="70AE09D2" w14:textId="77777777" w:rsidR="009075F9" w:rsidRPr="001408D5" w:rsidRDefault="009075F9" w:rsidP="009075F9">
            <w:pPr>
              <w:pStyle w:val="HSAGTableContracttext"/>
            </w:pPr>
            <w:r w:rsidRPr="001408D5">
              <w:t>42 CFR §438.228</w:t>
            </w:r>
          </w:p>
          <w:p w14:paraId="5FBBAD88" w14:textId="77777777" w:rsidR="009075F9" w:rsidRPr="001408D5" w:rsidRDefault="009075F9" w:rsidP="009075F9">
            <w:pPr>
              <w:pStyle w:val="HSAGTableContracttext"/>
              <w:rPr>
                <w:iCs/>
              </w:rPr>
            </w:pPr>
            <w:r w:rsidRPr="001408D5">
              <w:rPr>
                <w:iCs/>
              </w:rPr>
              <w:t>42 CFR §438.408(c)(2)</w:t>
            </w:r>
          </w:p>
          <w:p w14:paraId="3DFD1824" w14:textId="77777777" w:rsidR="009075F9" w:rsidRPr="001408D5" w:rsidRDefault="009075F9" w:rsidP="009075F9">
            <w:pPr>
              <w:pStyle w:val="HSAGTableContracttext"/>
            </w:pPr>
            <w:r w:rsidRPr="001408D5">
              <w:t>42 CFR §457.1260(e)(1)</w:t>
            </w:r>
          </w:p>
          <w:p w14:paraId="3193FFD6" w14:textId="77777777" w:rsidR="009075F9" w:rsidRPr="001408D5" w:rsidRDefault="009075F9" w:rsidP="009075F9">
            <w:pPr>
              <w:pStyle w:val="HSAGTableContracttext"/>
              <w:rPr>
                <w:iCs/>
              </w:rPr>
            </w:pPr>
            <w:r w:rsidRPr="001408D5">
              <w:rPr>
                <w:iCs/>
              </w:rPr>
              <w:t xml:space="preserve"> Contract Schedule A—M(1)(e)(vi)</w:t>
            </w:r>
          </w:p>
          <w:p w14:paraId="6FE592A0" w14:textId="15CA77A8" w:rsidR="009075F9" w:rsidRPr="00903F99" w:rsidRDefault="009075F9" w:rsidP="009075F9">
            <w:pPr>
              <w:pStyle w:val="HSAGTableContracttext"/>
              <w:keepNext/>
              <w:spacing w:before="0" w:after="0"/>
              <w:ind w:left="1440"/>
              <w:contextualSpacing/>
              <w:rPr>
                <w:i/>
                <w:szCs w:val="18"/>
              </w:rPr>
            </w:pPr>
            <w:r w:rsidRPr="001408D5">
              <w:t>Appeal and Grievance Resolution Processes Technical Requirement—VIII(D)(2)(a)</w:t>
            </w:r>
          </w:p>
        </w:tc>
        <w:tc>
          <w:tcPr>
            <w:tcW w:w="6114" w:type="dxa"/>
            <w:gridSpan w:val="2"/>
            <w:shd w:val="clear" w:color="auto" w:fill="FFFFFF" w:themeFill="background1"/>
          </w:tcPr>
          <w:p w14:paraId="135D2361" w14:textId="77777777" w:rsidR="009075F9" w:rsidRPr="001408D5" w:rsidRDefault="009075F9" w:rsidP="009075F9">
            <w:pPr>
              <w:pStyle w:val="HSAGTableText"/>
              <w:contextualSpacing/>
              <w:rPr>
                <w:b/>
                <w:bCs/>
              </w:rPr>
            </w:pPr>
            <w:r w:rsidRPr="001408D5">
              <w:rPr>
                <w:b/>
                <w:bCs/>
              </w:rPr>
              <w:lastRenderedPageBreak/>
              <w:t>HSAG Required Evidence:</w:t>
            </w:r>
          </w:p>
          <w:p w14:paraId="7722EE51" w14:textId="77777777" w:rsidR="009075F9" w:rsidRPr="001408D5" w:rsidRDefault="009075F9" w:rsidP="00595A8D">
            <w:pPr>
              <w:pStyle w:val="HSAGTableText"/>
              <w:numPr>
                <w:ilvl w:val="0"/>
                <w:numId w:val="19"/>
              </w:numPr>
              <w:contextualSpacing/>
            </w:pPr>
            <w:r w:rsidRPr="001408D5">
              <w:t>Policies and procedures</w:t>
            </w:r>
          </w:p>
          <w:p w14:paraId="121D8E78" w14:textId="77777777" w:rsidR="009075F9" w:rsidRPr="001408D5" w:rsidRDefault="009075F9" w:rsidP="00595A8D">
            <w:pPr>
              <w:pStyle w:val="HSAGTableText"/>
              <w:numPr>
                <w:ilvl w:val="0"/>
                <w:numId w:val="19"/>
              </w:numPr>
              <w:contextualSpacing/>
            </w:pPr>
            <w:r w:rsidRPr="001408D5">
              <w:t>Grievance extension template letter</w:t>
            </w:r>
          </w:p>
          <w:p w14:paraId="12EF3A95" w14:textId="77777777" w:rsidR="009075F9" w:rsidRPr="001408D5" w:rsidRDefault="009075F9" w:rsidP="00595A8D">
            <w:pPr>
              <w:pStyle w:val="HSAGTableText"/>
              <w:numPr>
                <w:ilvl w:val="0"/>
                <w:numId w:val="19"/>
              </w:numPr>
              <w:contextualSpacing/>
            </w:pPr>
            <w:r w:rsidRPr="001408D5">
              <w:t>System screenshot of field where oral notice of the extension is documented</w:t>
            </w:r>
          </w:p>
          <w:p w14:paraId="7EA72750" w14:textId="77777777" w:rsidR="009075F9" w:rsidRPr="001408D5" w:rsidRDefault="009075F9" w:rsidP="00595A8D">
            <w:pPr>
              <w:pStyle w:val="HSAGTableText"/>
              <w:numPr>
                <w:ilvl w:val="0"/>
                <w:numId w:val="19"/>
              </w:numPr>
              <w:contextualSpacing/>
            </w:pPr>
            <w:r w:rsidRPr="001408D5">
              <w:t>System screenshot of field where written notice of the extension is documented, including the date of the notice</w:t>
            </w:r>
          </w:p>
          <w:p w14:paraId="08579499" w14:textId="77777777" w:rsidR="009075F9" w:rsidRDefault="009075F9" w:rsidP="00595A8D">
            <w:pPr>
              <w:pStyle w:val="HSAGTableText"/>
              <w:numPr>
                <w:ilvl w:val="0"/>
                <w:numId w:val="19"/>
              </w:numPr>
              <w:contextualSpacing/>
            </w:pPr>
            <w:r w:rsidRPr="001408D5">
              <w:lastRenderedPageBreak/>
              <w:t>Three case examples of a grievance with an extension applied, including oral and written notice of the extension</w:t>
            </w:r>
          </w:p>
          <w:p w14:paraId="55370A65" w14:textId="2102ED55" w:rsidR="009075F9" w:rsidRPr="00903F99" w:rsidRDefault="009075F9" w:rsidP="00595A8D">
            <w:pPr>
              <w:pStyle w:val="HSAGTableText"/>
              <w:numPr>
                <w:ilvl w:val="0"/>
                <w:numId w:val="19"/>
              </w:numPr>
              <w:contextualSpacing/>
            </w:pPr>
            <w:r w:rsidRPr="001408D5">
              <w:t>HSAG will also use the results of the Grievances File Review</w:t>
            </w:r>
          </w:p>
        </w:tc>
        <w:tc>
          <w:tcPr>
            <w:tcW w:w="1426" w:type="dxa"/>
            <w:vMerge w:val="restart"/>
            <w:shd w:val="clear" w:color="auto" w:fill="FFFFFF" w:themeFill="background1"/>
          </w:tcPr>
          <w:p w14:paraId="15C308AF" w14:textId="77777777" w:rsidR="009075F9" w:rsidRPr="001408D5" w:rsidRDefault="00000000" w:rsidP="009075F9">
            <w:pPr>
              <w:spacing w:before="60" w:after="0"/>
              <w:contextualSpacing/>
              <w:rPr>
                <w:sz w:val="22"/>
              </w:rPr>
            </w:pPr>
            <w:sdt>
              <w:sdtPr>
                <w:rPr>
                  <w:rFonts w:ascii="MS Gothic" w:eastAsia="MS Gothic" w:hAnsi="MS Gothic" w:hint="eastAsia"/>
                  <w:sz w:val="22"/>
                </w:rPr>
                <w:id w:val="1639072571"/>
                <w14:checkbox>
                  <w14:checked w14:val="0"/>
                  <w14:checkedState w14:val="2612" w14:font="MS Gothic"/>
                  <w14:uncheckedState w14:val="2610" w14:font="MS Gothic"/>
                </w14:checkbox>
              </w:sdtPr>
              <w:sdtContent>
                <w:r w:rsidR="009075F9" w:rsidRPr="001408D5">
                  <w:rPr>
                    <w:rFonts w:ascii="MS Gothic" w:eastAsia="MS Gothic" w:hAnsi="MS Gothic" w:hint="eastAsia"/>
                    <w:sz w:val="22"/>
                  </w:rPr>
                  <w:t>☐</w:t>
                </w:r>
              </w:sdtContent>
            </w:sdt>
            <w:r w:rsidR="009075F9" w:rsidRPr="001408D5">
              <w:rPr>
                <w:sz w:val="22"/>
              </w:rPr>
              <w:t xml:space="preserve"> Met</w:t>
            </w:r>
          </w:p>
          <w:p w14:paraId="7630D186" w14:textId="77777777" w:rsidR="009075F9" w:rsidRPr="001408D5" w:rsidRDefault="00000000" w:rsidP="009075F9">
            <w:pPr>
              <w:spacing w:before="60" w:after="0"/>
              <w:contextualSpacing/>
              <w:rPr>
                <w:sz w:val="22"/>
              </w:rPr>
            </w:pPr>
            <w:sdt>
              <w:sdtPr>
                <w:rPr>
                  <w:rFonts w:ascii="MS Gothic" w:eastAsia="MS Gothic" w:hAnsi="MS Gothic" w:hint="eastAsia"/>
                  <w:sz w:val="22"/>
                </w:rPr>
                <w:id w:val="-1417318550"/>
                <w14:checkbox>
                  <w14:checked w14:val="1"/>
                  <w14:checkedState w14:val="2612" w14:font="MS Gothic"/>
                  <w14:uncheckedState w14:val="2610" w14:font="MS Gothic"/>
                </w14:checkbox>
              </w:sdtPr>
              <w:sdtContent>
                <w:r w:rsidR="009075F9" w:rsidRPr="001408D5">
                  <w:rPr>
                    <w:rFonts w:ascii="MS Gothic" w:eastAsia="MS Gothic" w:hAnsi="MS Gothic" w:hint="eastAsia"/>
                    <w:sz w:val="22"/>
                  </w:rPr>
                  <w:t>☒</w:t>
                </w:r>
              </w:sdtContent>
            </w:sdt>
            <w:r w:rsidR="009075F9" w:rsidRPr="001408D5">
              <w:rPr>
                <w:sz w:val="22"/>
              </w:rPr>
              <w:t xml:space="preserve"> Not Met</w:t>
            </w:r>
          </w:p>
          <w:p w14:paraId="49E30B79" w14:textId="77777777" w:rsidR="009075F9" w:rsidRPr="001408D5" w:rsidRDefault="009075F9" w:rsidP="009075F9">
            <w:pPr>
              <w:spacing w:before="60" w:after="0"/>
              <w:contextualSpacing/>
              <w:rPr>
                <w:sz w:val="22"/>
              </w:rPr>
            </w:pPr>
            <w:r w:rsidRPr="001408D5">
              <w:rPr>
                <w:rFonts w:ascii="MS Gothic" w:eastAsia="MS Gothic" w:hAnsi="MS Gothic" w:hint="eastAsia"/>
                <w:sz w:val="22"/>
              </w:rPr>
              <w:t>☐</w:t>
            </w:r>
            <w:r w:rsidRPr="001408D5">
              <w:rPr>
                <w:sz w:val="22"/>
              </w:rPr>
              <w:t xml:space="preserve"> NA</w:t>
            </w:r>
          </w:p>
          <w:p w14:paraId="3B96B1B6" w14:textId="77777777" w:rsidR="009075F9" w:rsidRPr="00903F99" w:rsidRDefault="009075F9" w:rsidP="009075F9">
            <w:pPr>
              <w:spacing w:before="0" w:after="0"/>
              <w:contextualSpacing/>
              <w:rPr>
                <w:sz w:val="22"/>
              </w:rPr>
            </w:pPr>
          </w:p>
        </w:tc>
      </w:tr>
      <w:tr w:rsidR="009075F9" w:rsidRPr="00903F99" w14:paraId="52EB80F6" w14:textId="77777777" w:rsidTr="00683305">
        <w:trPr>
          <w:trHeight w:val="374"/>
          <w:jc w:val="center"/>
        </w:trPr>
        <w:tc>
          <w:tcPr>
            <w:tcW w:w="6471" w:type="dxa"/>
            <w:gridSpan w:val="2"/>
            <w:vMerge/>
          </w:tcPr>
          <w:p w14:paraId="080351AB" w14:textId="77777777" w:rsidR="009075F9" w:rsidRPr="00903F99" w:rsidRDefault="009075F9" w:rsidP="00595A8D">
            <w:pPr>
              <w:pStyle w:val="HSAGNumbers"/>
              <w:numPr>
                <w:ilvl w:val="0"/>
                <w:numId w:val="16"/>
              </w:numPr>
              <w:spacing w:before="0" w:after="0"/>
              <w:contextualSpacing/>
            </w:pPr>
          </w:p>
        </w:tc>
        <w:tc>
          <w:tcPr>
            <w:tcW w:w="6114" w:type="dxa"/>
            <w:gridSpan w:val="2"/>
            <w:shd w:val="clear" w:color="auto" w:fill="FFFFFF" w:themeFill="background1"/>
          </w:tcPr>
          <w:p w14:paraId="263BFC4C" w14:textId="77777777" w:rsidR="009075F9" w:rsidRPr="001408D5" w:rsidRDefault="009075F9" w:rsidP="009075F9">
            <w:pPr>
              <w:pStyle w:val="HSAGTableText"/>
              <w:contextualSpacing/>
              <w:rPr>
                <w:b/>
                <w:bCs/>
              </w:rPr>
            </w:pPr>
            <w:r w:rsidRPr="001408D5">
              <w:rPr>
                <w:b/>
                <w:bCs/>
              </w:rPr>
              <w:t>Evidence as Submitted by the PIHP:</w:t>
            </w:r>
          </w:p>
          <w:p w14:paraId="39FC21DC" w14:textId="77777777" w:rsidR="009075F9" w:rsidRDefault="009075F9" w:rsidP="00595A8D">
            <w:pPr>
              <w:pStyle w:val="HSAGTableText"/>
              <w:numPr>
                <w:ilvl w:val="0"/>
                <w:numId w:val="27"/>
              </w:numPr>
              <w:contextualSpacing/>
            </w:pPr>
            <w:r w:rsidRPr="001408D5">
              <w:t>S9_E7_E8_Screenshot_Grievance Extension Info</w:t>
            </w:r>
          </w:p>
          <w:p w14:paraId="0260C82B" w14:textId="67D6E42B" w:rsidR="009075F9" w:rsidRPr="00903F99" w:rsidRDefault="009075F9" w:rsidP="00595A8D">
            <w:pPr>
              <w:pStyle w:val="HSAGTableText"/>
              <w:numPr>
                <w:ilvl w:val="0"/>
                <w:numId w:val="27"/>
              </w:numPr>
              <w:contextualSpacing/>
            </w:pPr>
            <w:r w:rsidRPr="001408D5">
              <w:t xml:space="preserve">S9_E8_Grievance and Appeals </w:t>
            </w:r>
            <w:proofErr w:type="spellStart"/>
            <w:r w:rsidRPr="001408D5">
              <w:t>Policy_page</w:t>
            </w:r>
            <w:proofErr w:type="spellEnd"/>
            <w:r w:rsidRPr="001408D5">
              <w:t xml:space="preserve"> 8</w:t>
            </w:r>
          </w:p>
        </w:tc>
        <w:tc>
          <w:tcPr>
            <w:tcW w:w="1426" w:type="dxa"/>
            <w:vMerge/>
            <w:shd w:val="clear" w:color="auto" w:fill="FFFFFF" w:themeFill="background1"/>
          </w:tcPr>
          <w:p w14:paraId="55EBD231" w14:textId="77777777" w:rsidR="009075F9" w:rsidRPr="00903F99" w:rsidRDefault="009075F9" w:rsidP="009075F9">
            <w:pPr>
              <w:spacing w:before="0" w:after="0"/>
              <w:contextualSpacing/>
              <w:rPr>
                <w:sz w:val="22"/>
              </w:rPr>
            </w:pPr>
          </w:p>
        </w:tc>
      </w:tr>
      <w:tr w:rsidR="009075F9" w:rsidRPr="00903F99" w14:paraId="57568B2C" w14:textId="77777777" w:rsidTr="00683305">
        <w:trPr>
          <w:trHeight w:val="374"/>
          <w:jc w:val="center"/>
        </w:trPr>
        <w:tc>
          <w:tcPr>
            <w:tcW w:w="14011" w:type="dxa"/>
            <w:gridSpan w:val="5"/>
            <w:vAlign w:val="center"/>
          </w:tcPr>
          <w:p w14:paraId="2FBF4212" w14:textId="7962C5A3" w:rsidR="009075F9" w:rsidRPr="00903F99" w:rsidRDefault="009075F9" w:rsidP="009075F9">
            <w:pPr>
              <w:pStyle w:val="HSAGTableText"/>
              <w:spacing w:before="0" w:after="0"/>
            </w:pPr>
            <w:r w:rsidRPr="001408D5">
              <w:rPr>
                <w:b/>
              </w:rPr>
              <w:t>PIHP Description of Process:</w:t>
            </w:r>
            <w:r w:rsidRPr="001408D5">
              <w:t xml:space="preserve"> In the instance of a grievance extension, the PIHP will make reasonable efforts to give the beneficiary prompt oral notice of the delay and provide a written notice of the extension within 2 calendar days, informing the beneficiary they have the right to file another appeal if they disagree with the extension. </w:t>
            </w:r>
          </w:p>
        </w:tc>
      </w:tr>
      <w:tr w:rsidR="009075F9" w:rsidRPr="0026679F" w14:paraId="02F3250A" w14:textId="77777777" w:rsidTr="00683305">
        <w:trPr>
          <w:trHeight w:val="374"/>
          <w:jc w:val="center"/>
        </w:trPr>
        <w:tc>
          <w:tcPr>
            <w:tcW w:w="14011" w:type="dxa"/>
            <w:gridSpan w:val="5"/>
            <w:tcBorders>
              <w:bottom w:val="single" w:sz="4" w:space="0" w:color="000000"/>
            </w:tcBorders>
            <w:vAlign w:val="center"/>
          </w:tcPr>
          <w:p w14:paraId="5D44F6A0" w14:textId="77777777" w:rsidR="009075F9" w:rsidRPr="001408D5" w:rsidRDefault="009075F9" w:rsidP="009075F9">
            <w:pPr>
              <w:pStyle w:val="HSAGTableText"/>
              <w:rPr>
                <w:color w:val="auto"/>
              </w:rPr>
            </w:pPr>
            <w:r w:rsidRPr="001408D5">
              <w:rPr>
                <w:b/>
              </w:rPr>
              <w:t>HSAG Findings:</w:t>
            </w:r>
            <w:r w:rsidRPr="001408D5">
              <w:t xml:space="preserve"> </w:t>
            </w:r>
            <w:r w:rsidRPr="001408D5">
              <w:rPr>
                <w:color w:val="auto"/>
              </w:rPr>
              <w:t xml:space="preserve">While the PIHP confirmed that it had no grievance resolution time frame extensions during the </w:t>
            </w:r>
            <w:proofErr w:type="gramStart"/>
            <w:r w:rsidRPr="001408D5">
              <w:rPr>
                <w:color w:val="auto"/>
              </w:rPr>
              <w:t>time period</w:t>
            </w:r>
            <w:proofErr w:type="gramEnd"/>
            <w:r w:rsidRPr="001408D5">
              <w:rPr>
                <w:color w:val="auto"/>
              </w:rPr>
              <w:t xml:space="preserve"> of review, the PIHP did not initially provide a grievance extension notice template as requested by HSAG. After the site review, the PIHP submitted an extension letter template; however, the document appeared to be created on May 23, 2025. Therefore, without further explanation from the PIHP, HSAG was unable to verify the template was effective during the </w:t>
            </w:r>
            <w:proofErr w:type="gramStart"/>
            <w:r w:rsidRPr="001408D5">
              <w:rPr>
                <w:color w:val="auto"/>
              </w:rPr>
              <w:t>time period</w:t>
            </w:r>
            <w:proofErr w:type="gramEnd"/>
            <w:r w:rsidRPr="001408D5">
              <w:rPr>
                <w:color w:val="auto"/>
              </w:rPr>
              <w:t xml:space="preserve"> of review. Further, while the template informed members to call “***** at *****”, if they do not agree with the extension, the template did not specifically inform members that they have grievance rights if they do not agree with the extension. Lastly, as the notice was on the PIHP’s letterhead, it is unclear whether the PIHP’s delegates were required to use this template or were responsible for creating their own template.</w:t>
            </w:r>
          </w:p>
          <w:p w14:paraId="2E2600A2" w14:textId="39B62E12" w:rsidR="009075F9" w:rsidRPr="0026679F" w:rsidRDefault="009075F9" w:rsidP="009075F9">
            <w:pPr>
              <w:pStyle w:val="HSAGTableText"/>
              <w:spacing w:before="0"/>
            </w:pPr>
            <w:r w:rsidRPr="001408D5">
              <w:rPr>
                <w:b/>
                <w:bCs/>
              </w:rPr>
              <w:t>Recommendations:</w:t>
            </w:r>
            <w:r w:rsidRPr="001408D5">
              <w:t xml:space="preserve"> The PIHP’s system did not have a dedicated reportable field to track oral and written notice of extensions and could only document extension notices in the notes section of the module. While the PIHP had no grievance resolution time frame extensions, as it is a contractual requirement (for the PIHP to apply an extension and for members to request an extension), HSAG recommends that the PIHP enhance its system to track and report on the extension provisions. If the PIHP does not demonstrate adequate implementation of HSAG’s recommendations during future compliance reviews, the PIHP may receive a </w:t>
            </w:r>
            <w:r w:rsidRPr="001408D5">
              <w:rPr>
                <w:i/>
                <w:iCs/>
              </w:rPr>
              <w:t>Not Met</w:t>
            </w:r>
            <w:r w:rsidRPr="001408D5">
              <w:t xml:space="preserve"> score.</w:t>
            </w:r>
          </w:p>
        </w:tc>
      </w:tr>
      <w:tr w:rsidR="009075F9" w:rsidRPr="0026679F" w14:paraId="7ADEE281" w14:textId="77777777" w:rsidTr="00683305">
        <w:trPr>
          <w:trHeight w:val="374"/>
          <w:jc w:val="center"/>
        </w:trPr>
        <w:tc>
          <w:tcPr>
            <w:tcW w:w="14011" w:type="dxa"/>
            <w:gridSpan w:val="5"/>
            <w:tcBorders>
              <w:top w:val="single" w:sz="4" w:space="0" w:color="000000"/>
              <w:bottom w:val="single" w:sz="4" w:space="0" w:color="auto"/>
            </w:tcBorders>
            <w:vAlign w:val="center"/>
          </w:tcPr>
          <w:p w14:paraId="44E0B079" w14:textId="1D122921" w:rsidR="009075F9" w:rsidRPr="0026679F" w:rsidRDefault="009075F9" w:rsidP="009075F9">
            <w:pPr>
              <w:pStyle w:val="HSAGTableText"/>
              <w:rPr>
                <w:b/>
              </w:rPr>
            </w:pPr>
            <w:r w:rsidRPr="001408D5">
              <w:rPr>
                <w:b/>
              </w:rPr>
              <w:t>Required Actions:</w:t>
            </w:r>
            <w:r w:rsidRPr="001408D5">
              <w:t xml:space="preserve"> If the PIHP extends the grievance resolution time frame not at the request of the member, it must make reasonable efforts to give the member prompt oral notice of the delay, and within two calendar days give the member written notice of the reason for the decision to extend the time frame and inform the member of the right to file a grievance if he or she disagrees with that decision.</w:t>
            </w:r>
          </w:p>
        </w:tc>
      </w:tr>
      <w:tr w:rsidR="009075F9" w:rsidRPr="00D16F05" w14:paraId="657C79F9" w14:textId="77777777" w:rsidTr="00683305">
        <w:tblPrEx>
          <w:tblCellMar>
            <w:left w:w="108" w:type="dxa"/>
            <w:right w:w="108" w:type="dxa"/>
          </w:tblCellMar>
        </w:tblPrEx>
        <w:trPr>
          <w:gridBefore w:val="1"/>
          <w:wBefore w:w="7" w:type="dxa"/>
          <w:trHeight w:val="374"/>
          <w:jc w:val="center"/>
        </w:trPr>
        <w:tc>
          <w:tcPr>
            <w:tcW w:w="14004" w:type="dxa"/>
            <w:gridSpan w:val="4"/>
            <w:tcBorders>
              <w:top w:val="single" w:sz="4" w:space="0" w:color="auto"/>
              <w:bottom w:val="single" w:sz="4" w:space="0" w:color="000000" w:themeColor="text1"/>
            </w:tcBorders>
            <w:shd w:val="clear" w:color="auto" w:fill="F79548" w:themeFill="accent4"/>
          </w:tcPr>
          <w:p w14:paraId="53A469D2" w14:textId="77777777" w:rsidR="009075F9" w:rsidRPr="00D16F05" w:rsidRDefault="009075F9" w:rsidP="009075F9">
            <w:pPr>
              <w:pStyle w:val="HSAGTableText"/>
              <w:keepNext/>
              <w:contextualSpacing/>
              <w:rPr>
                <w:b/>
              </w:rPr>
            </w:pPr>
            <w:r>
              <w:rPr>
                <w:b/>
              </w:rPr>
              <w:t>PIHP Corrective Action Plan</w:t>
            </w:r>
          </w:p>
        </w:tc>
      </w:tr>
      <w:tr w:rsidR="009075F9" w:rsidRPr="00984D92" w14:paraId="4D942AA1" w14:textId="77777777" w:rsidTr="00683305">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736039BE" w14:textId="450D0870" w:rsidR="009075F9" w:rsidRPr="00984D92" w:rsidRDefault="009075F9" w:rsidP="009075F9">
            <w:pPr>
              <w:pStyle w:val="HSAGTableText"/>
              <w:contextualSpacing/>
              <w:rPr>
                <w:bCs/>
              </w:rPr>
            </w:pPr>
            <w:r>
              <w:rPr>
                <w:b/>
              </w:rPr>
              <w:t>Root Cause Analysis:</w:t>
            </w:r>
            <w:r w:rsidRPr="003F5489">
              <w:rPr>
                <w:bCs/>
              </w:rPr>
              <w:t xml:space="preserve"> </w:t>
            </w:r>
            <w:r>
              <w:rPr>
                <w:bCs/>
              </w:rPr>
              <w:t>The NMRE Electronic Health Record (PCE) does not have adequate space to track oral and written notice extensions.</w:t>
            </w:r>
          </w:p>
        </w:tc>
      </w:tr>
      <w:tr w:rsidR="009075F9" w:rsidRPr="00FC2C0F" w14:paraId="1762AF89" w14:textId="77777777" w:rsidTr="00683305">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48343F06" w14:textId="31E8801D" w:rsidR="009075F9" w:rsidRPr="00FC2C0F" w:rsidRDefault="009075F9" w:rsidP="009075F9">
            <w:pPr>
              <w:pStyle w:val="HSAGTableText"/>
              <w:contextualSpacing/>
              <w:rPr>
                <w:bCs/>
              </w:rPr>
            </w:pPr>
            <w:r>
              <w:rPr>
                <w:b/>
              </w:rPr>
              <w:lastRenderedPageBreak/>
              <w:t>PIHP Remediation Plan</w:t>
            </w:r>
            <w:r w:rsidRPr="00B30934">
              <w:rPr>
                <w:b/>
              </w:rPr>
              <w:t>:</w:t>
            </w:r>
            <w:r>
              <w:rPr>
                <w:bCs/>
              </w:rPr>
              <w:t xml:space="preserve"> The NMRE is working in a state-wide PIHP PCE workgroup to make the necessary changes to enhance the tracking and reporting extension provisions.</w:t>
            </w:r>
          </w:p>
        </w:tc>
      </w:tr>
      <w:tr w:rsidR="009075F9" w:rsidRPr="00FC2C0F" w14:paraId="2E4B508B" w14:textId="77777777" w:rsidTr="00683305">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3FF4D2E4" w14:textId="05AECDAC" w:rsidR="009075F9" w:rsidRPr="00FC2C0F" w:rsidRDefault="009075F9" w:rsidP="009075F9">
            <w:pPr>
              <w:pStyle w:val="HSAGTableText"/>
              <w:contextualSpacing/>
              <w:rPr>
                <w:bCs/>
              </w:rPr>
            </w:pPr>
            <w:r w:rsidRPr="00B30934">
              <w:rPr>
                <w:b/>
              </w:rPr>
              <w:t>Responsible Individual(s):</w:t>
            </w:r>
            <w:r>
              <w:rPr>
                <w:bCs/>
              </w:rPr>
              <w:t xml:space="preserve"> Valerie McBain, NMRE PCE Lead, Brie Molaison, NMRE Compliance and Customer Services Officer</w:t>
            </w:r>
          </w:p>
        </w:tc>
      </w:tr>
      <w:tr w:rsidR="009075F9" w:rsidRPr="00FC2C0F" w14:paraId="157EE768" w14:textId="77777777" w:rsidTr="00683305">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auto"/>
            </w:tcBorders>
          </w:tcPr>
          <w:p w14:paraId="1A5DA490" w14:textId="730214C1" w:rsidR="009075F9" w:rsidRPr="00FC2C0F" w:rsidRDefault="009075F9" w:rsidP="009075F9">
            <w:pPr>
              <w:pStyle w:val="HSAGTableText"/>
              <w:contextualSpacing/>
              <w:rPr>
                <w:bCs/>
              </w:rPr>
            </w:pPr>
            <w:r w:rsidRPr="00B30934">
              <w:rPr>
                <w:b/>
              </w:rPr>
              <w:t>Timeline:</w:t>
            </w:r>
            <w:r>
              <w:rPr>
                <w:bCs/>
              </w:rPr>
              <w:t xml:space="preserve"> This should be completed by March 2026.</w:t>
            </w:r>
          </w:p>
        </w:tc>
      </w:tr>
      <w:tr w:rsidR="009075F9" w14:paraId="706C49A8" w14:textId="77777777" w:rsidTr="00683305">
        <w:tblPrEx>
          <w:tblCellMar>
            <w:left w:w="108" w:type="dxa"/>
            <w:right w:w="108" w:type="dxa"/>
          </w:tblCellMar>
        </w:tblPrEx>
        <w:trPr>
          <w:gridBefore w:val="1"/>
          <w:wBefore w:w="7" w:type="dxa"/>
          <w:trHeight w:val="374"/>
          <w:jc w:val="center"/>
        </w:trPr>
        <w:tc>
          <w:tcPr>
            <w:tcW w:w="10425" w:type="dxa"/>
            <w:gridSpan w:val="2"/>
            <w:tcBorders>
              <w:top w:val="single" w:sz="4" w:space="0" w:color="auto"/>
              <w:bottom w:val="single" w:sz="18" w:space="0" w:color="00549E" w:themeColor="text2"/>
            </w:tcBorders>
            <w:shd w:val="clear" w:color="auto" w:fill="F2F2F2" w:themeFill="background1" w:themeFillShade="F2"/>
          </w:tcPr>
          <w:p w14:paraId="40803202" w14:textId="46E010B6" w:rsidR="009075F9" w:rsidRPr="00FC2C0F" w:rsidRDefault="009075F9" w:rsidP="009075F9">
            <w:pPr>
              <w:pStyle w:val="HSAGTableText"/>
              <w:contextualSpacing/>
              <w:rPr>
                <w:bCs/>
              </w:rPr>
            </w:pPr>
            <w:r>
              <w:rPr>
                <w:b/>
              </w:rPr>
              <w:t>MDHHS/HSAG Response:</w:t>
            </w:r>
            <w:r>
              <w:rPr>
                <w:bCs/>
              </w:rPr>
              <w:t xml:space="preserve"> </w:t>
            </w:r>
            <w:r w:rsidR="00813774" w:rsidRPr="00813774">
              <w:rPr>
                <w:bCs/>
              </w:rPr>
              <w:t xml:space="preserve">The PIHP’s remediation plan is sufficient to ensure compliance with the requirements for this program area. However, the PIHP must ensure </w:t>
            </w:r>
            <w:r w:rsidR="00813774">
              <w:rPr>
                <w:bCs/>
              </w:rPr>
              <w:t xml:space="preserve">it updates its template to </w:t>
            </w:r>
            <w:r w:rsidR="00813774" w:rsidRPr="00813774">
              <w:rPr>
                <w:bCs/>
              </w:rPr>
              <w:t xml:space="preserve">specifically inform members that they have grievance rights if they do not agree with the extension. While no additional information is required to be submitted at this time, the PIHP must proceed with </w:t>
            </w:r>
            <w:proofErr w:type="gramStart"/>
            <w:r w:rsidR="00813774" w:rsidRPr="00813774">
              <w:rPr>
                <w:bCs/>
              </w:rPr>
              <w:t>timely</w:t>
            </w:r>
            <w:proofErr w:type="gramEnd"/>
            <w:r w:rsidR="00813774" w:rsidRPr="00813774">
              <w:rPr>
                <w:bCs/>
              </w:rPr>
              <w:t xml:space="preserve"> implementation of its action plans. Please note, an </w:t>
            </w:r>
            <w:r w:rsidR="00813774" w:rsidRPr="00813774">
              <w:rPr>
                <w:bCs/>
                <w:i/>
                <w:iCs/>
              </w:rPr>
              <w:t xml:space="preserve">Accepted </w:t>
            </w:r>
            <w:proofErr w:type="gramStart"/>
            <w:r w:rsidR="00813774" w:rsidRPr="00813774">
              <w:rPr>
                <w:bCs/>
                <w:i/>
                <w:iCs/>
              </w:rPr>
              <w:t>With</w:t>
            </w:r>
            <w:proofErr w:type="gramEnd"/>
            <w:r w:rsidR="00813774" w:rsidRPr="00813774">
              <w:rPr>
                <w:bCs/>
                <w:i/>
                <w:iCs/>
              </w:rPr>
              <w:t xml:space="preserve"> Recommendation</w:t>
            </w:r>
            <w:r w:rsidR="00813774" w:rsidRPr="00813774">
              <w:rPr>
                <w:bCs/>
              </w:rPr>
              <w:t xml:space="preserve"> designation is not a guarantee of future compliance. Implementation of the PIHP’s action plans and demonstration of compliance will be assessed during future compliance review activities.</w:t>
            </w:r>
          </w:p>
        </w:tc>
        <w:tc>
          <w:tcPr>
            <w:tcW w:w="3579" w:type="dxa"/>
            <w:gridSpan w:val="2"/>
            <w:tcBorders>
              <w:top w:val="single" w:sz="4" w:space="0" w:color="auto"/>
              <w:bottom w:val="single" w:sz="18" w:space="0" w:color="00549E" w:themeColor="text2"/>
            </w:tcBorders>
            <w:shd w:val="clear" w:color="auto" w:fill="F2F2F2" w:themeFill="background1" w:themeFillShade="F2"/>
          </w:tcPr>
          <w:p w14:paraId="110B5D88" w14:textId="77777777" w:rsidR="009075F9" w:rsidRPr="00C123EE" w:rsidRDefault="00000000" w:rsidP="009075F9">
            <w:pPr>
              <w:pStyle w:val="HSAGTableText"/>
              <w:contextualSpacing/>
              <w:rPr>
                <w:bCs/>
              </w:rPr>
            </w:pPr>
            <w:sdt>
              <w:sdtPr>
                <w:rPr>
                  <w:bCs/>
                </w:rPr>
                <w:id w:val="899025249"/>
                <w14:checkbox>
                  <w14:checked w14:val="0"/>
                  <w14:checkedState w14:val="2612" w14:font="MS Gothic"/>
                  <w14:uncheckedState w14:val="2610" w14:font="MS Gothic"/>
                </w14:checkbox>
              </w:sdtPr>
              <w:sdtContent>
                <w:r w:rsidR="009075F9" w:rsidRPr="00C123EE">
                  <w:rPr>
                    <w:rFonts w:ascii="MS Gothic" w:eastAsia="MS Gothic" w:hAnsi="MS Gothic" w:hint="eastAsia"/>
                    <w:bCs/>
                  </w:rPr>
                  <w:t>☐</w:t>
                </w:r>
              </w:sdtContent>
            </w:sdt>
            <w:r w:rsidR="009075F9" w:rsidRPr="00C123EE">
              <w:rPr>
                <w:bCs/>
              </w:rPr>
              <w:t xml:space="preserve"> Accepted</w:t>
            </w:r>
          </w:p>
          <w:p w14:paraId="7C0FE5F9" w14:textId="220ED4DC" w:rsidR="009075F9" w:rsidRPr="00C123EE" w:rsidRDefault="00000000" w:rsidP="009075F9">
            <w:pPr>
              <w:pStyle w:val="HSAGTableText"/>
              <w:contextualSpacing/>
              <w:rPr>
                <w:bCs/>
              </w:rPr>
            </w:pPr>
            <w:sdt>
              <w:sdtPr>
                <w:rPr>
                  <w:bCs/>
                </w:rPr>
                <w:id w:val="441200211"/>
                <w14:checkbox>
                  <w14:checked w14:val="1"/>
                  <w14:checkedState w14:val="2612" w14:font="MS Gothic"/>
                  <w14:uncheckedState w14:val="2610" w14:font="MS Gothic"/>
                </w14:checkbox>
              </w:sdtPr>
              <w:sdtContent>
                <w:r w:rsidR="00813774">
                  <w:rPr>
                    <w:rFonts w:ascii="MS Gothic" w:eastAsia="MS Gothic" w:hAnsi="MS Gothic" w:hint="eastAsia"/>
                    <w:bCs/>
                  </w:rPr>
                  <w:t>☒</w:t>
                </w:r>
              </w:sdtContent>
            </w:sdt>
            <w:r w:rsidR="009075F9" w:rsidRPr="00C123EE">
              <w:rPr>
                <w:bCs/>
              </w:rPr>
              <w:t xml:space="preserve"> Accepted </w:t>
            </w:r>
            <w:r w:rsidR="009075F9">
              <w:rPr>
                <w:bCs/>
              </w:rPr>
              <w:t>W</w:t>
            </w:r>
            <w:r w:rsidR="009075F9" w:rsidRPr="00C123EE">
              <w:rPr>
                <w:bCs/>
              </w:rPr>
              <w:t>ith Recommendations</w:t>
            </w:r>
          </w:p>
          <w:p w14:paraId="08F66ACF" w14:textId="77777777" w:rsidR="009075F9" w:rsidRDefault="00000000" w:rsidP="009075F9">
            <w:pPr>
              <w:pStyle w:val="HSAGTableText"/>
              <w:contextualSpacing/>
              <w:rPr>
                <w:b/>
              </w:rPr>
            </w:pPr>
            <w:sdt>
              <w:sdtPr>
                <w:rPr>
                  <w:bCs/>
                </w:rPr>
                <w:id w:val="1772203669"/>
                <w14:checkbox>
                  <w14:checked w14:val="0"/>
                  <w14:checkedState w14:val="2612" w14:font="MS Gothic"/>
                  <w14:uncheckedState w14:val="2610" w14:font="MS Gothic"/>
                </w14:checkbox>
              </w:sdtPr>
              <w:sdtContent>
                <w:r w:rsidR="009075F9" w:rsidRPr="00C123EE">
                  <w:rPr>
                    <w:rFonts w:ascii="MS Gothic" w:eastAsia="MS Gothic" w:hAnsi="MS Gothic" w:hint="eastAsia"/>
                    <w:bCs/>
                  </w:rPr>
                  <w:t>☐</w:t>
                </w:r>
              </w:sdtContent>
            </w:sdt>
            <w:r w:rsidR="009075F9" w:rsidRPr="00C123EE">
              <w:rPr>
                <w:bCs/>
              </w:rPr>
              <w:t xml:space="preserve"> Not Accepted</w:t>
            </w:r>
          </w:p>
        </w:tc>
      </w:tr>
      <w:tr w:rsidR="009075F9" w:rsidRPr="00903F99" w14:paraId="62A0E684" w14:textId="77777777" w:rsidTr="00683305">
        <w:trPr>
          <w:trHeight w:val="374"/>
          <w:jc w:val="center"/>
        </w:trPr>
        <w:tc>
          <w:tcPr>
            <w:tcW w:w="6471" w:type="dxa"/>
            <w:gridSpan w:val="2"/>
            <w:vMerge w:val="restart"/>
          </w:tcPr>
          <w:p w14:paraId="773FDDA8" w14:textId="77777777" w:rsidR="009075F9" w:rsidRPr="001408D5" w:rsidRDefault="009075F9" w:rsidP="009075F9">
            <w:pPr>
              <w:pStyle w:val="ListNoNum"/>
              <w:keepNext/>
            </w:pPr>
            <w:r w:rsidRPr="001408D5">
              <w:rPr>
                <w:spacing w:val="-4"/>
              </w:rPr>
              <w:t>14.</w:t>
            </w:r>
            <w:r w:rsidRPr="001408D5">
              <w:rPr>
                <w:spacing w:val="-4"/>
              </w:rPr>
              <w:tab/>
            </w:r>
            <w:r w:rsidRPr="001408D5">
              <w:t>The member may file an appeal orally or in writing.</w:t>
            </w:r>
          </w:p>
          <w:p w14:paraId="68277389" w14:textId="77777777" w:rsidR="009075F9" w:rsidRPr="001408D5" w:rsidRDefault="009075F9" w:rsidP="009075F9">
            <w:pPr>
              <w:pStyle w:val="ListNoNum2"/>
            </w:pPr>
            <w:r w:rsidRPr="001408D5">
              <w:t>a</w:t>
            </w:r>
            <w:proofErr w:type="gramStart"/>
            <w:r w:rsidRPr="001408D5">
              <w:t xml:space="preserve">. </w:t>
            </w:r>
            <w:r w:rsidRPr="001408D5">
              <w:tab/>
              <w:t>With</w:t>
            </w:r>
            <w:proofErr w:type="gramEnd"/>
            <w:r w:rsidRPr="001408D5">
              <w:t xml:space="preserve"> the written consent of the member, a provider or an authorized representative may request an appeal on behalf of the member.</w:t>
            </w:r>
          </w:p>
          <w:p w14:paraId="4C883233" w14:textId="77777777" w:rsidR="009075F9" w:rsidRPr="001408D5" w:rsidRDefault="009075F9" w:rsidP="009075F9">
            <w:pPr>
              <w:pStyle w:val="ListNoNum2"/>
              <w:rPr>
                <w:i/>
                <w:iCs/>
              </w:rPr>
            </w:pPr>
            <w:r w:rsidRPr="001408D5">
              <w:t>b</w:t>
            </w:r>
            <w:proofErr w:type="gramStart"/>
            <w:r w:rsidRPr="001408D5">
              <w:t xml:space="preserve">. </w:t>
            </w:r>
            <w:r w:rsidRPr="001408D5">
              <w:tab/>
            </w:r>
            <w:r w:rsidRPr="001408D5">
              <w:rPr>
                <w:i/>
                <w:iCs/>
              </w:rPr>
              <w:t>If</w:t>
            </w:r>
            <w:proofErr w:type="gramEnd"/>
            <w:r w:rsidRPr="001408D5">
              <w:rPr>
                <w:i/>
                <w:iCs/>
              </w:rPr>
              <w:t xml:space="preserve"> an appeal is submitted by a third party but does not include a signed document authorizing the third party to act as an authorized representative for the member, the 30-​day time frame begins on the date an authorized representative document is received by the PIHP. The PIHP must notify the member that an authorized representative form or document is required. For purposes of section </w:t>
            </w:r>
            <w:proofErr w:type="gramStart"/>
            <w:r w:rsidRPr="001408D5">
              <w:rPr>
                <w:i/>
                <w:iCs/>
              </w:rPr>
              <w:t>Schedule</w:t>
            </w:r>
            <w:proofErr w:type="gramEnd"/>
            <w:r w:rsidRPr="001408D5">
              <w:rPr>
                <w:i/>
                <w:iCs/>
              </w:rPr>
              <w:t xml:space="preserve"> A—1(M)(1)(e)(vii), “third party” includes, but is not limited to, health care providers.</w:t>
            </w:r>
          </w:p>
          <w:p w14:paraId="1FFAA9CB" w14:textId="77777777" w:rsidR="009075F9" w:rsidRPr="001408D5" w:rsidRDefault="009075F9" w:rsidP="009075F9">
            <w:pPr>
              <w:pStyle w:val="HSAGTableContracttext"/>
              <w:rPr>
                <w:i/>
                <w:iCs/>
              </w:rPr>
            </w:pPr>
          </w:p>
          <w:p w14:paraId="6E508D5C" w14:textId="77777777" w:rsidR="009075F9" w:rsidRPr="001408D5" w:rsidRDefault="009075F9" w:rsidP="009075F9">
            <w:pPr>
              <w:pStyle w:val="HSAGTableContracttext"/>
              <w:rPr>
                <w:i/>
              </w:rPr>
            </w:pPr>
            <w:r w:rsidRPr="001408D5">
              <w:t>42 CFR §438.228</w:t>
            </w:r>
          </w:p>
          <w:p w14:paraId="234C009A" w14:textId="77777777" w:rsidR="009075F9" w:rsidRPr="001408D5" w:rsidRDefault="009075F9" w:rsidP="009075F9">
            <w:pPr>
              <w:pStyle w:val="HSAGTableContracttext"/>
              <w:rPr>
                <w:i/>
              </w:rPr>
            </w:pPr>
            <w:r w:rsidRPr="001408D5">
              <w:t>42 CFR §438.402(c)(1)(ii)</w:t>
            </w:r>
          </w:p>
          <w:p w14:paraId="35BFE94A" w14:textId="77777777" w:rsidR="009075F9" w:rsidRPr="001408D5" w:rsidRDefault="009075F9" w:rsidP="009075F9">
            <w:pPr>
              <w:pStyle w:val="HSAGTableContracttext"/>
              <w:rPr>
                <w:i/>
              </w:rPr>
            </w:pPr>
            <w:r w:rsidRPr="001408D5">
              <w:t>42 CFR §438.402(c)(3)(ii)</w:t>
            </w:r>
          </w:p>
          <w:p w14:paraId="1E659174" w14:textId="77777777" w:rsidR="009075F9" w:rsidRPr="001408D5" w:rsidRDefault="009075F9" w:rsidP="009075F9">
            <w:pPr>
              <w:pStyle w:val="HSAGTableContracttext"/>
              <w:rPr>
                <w:i/>
              </w:rPr>
            </w:pPr>
            <w:r w:rsidRPr="001408D5">
              <w:t>42 CFR §457.1260(b)(1)</w:t>
            </w:r>
          </w:p>
          <w:p w14:paraId="3989D340" w14:textId="77777777" w:rsidR="009075F9" w:rsidRPr="001408D5" w:rsidRDefault="009075F9" w:rsidP="009075F9">
            <w:pPr>
              <w:pStyle w:val="HSAGTableContracttext"/>
              <w:rPr>
                <w:i/>
              </w:rPr>
            </w:pPr>
            <w:r w:rsidRPr="001408D5">
              <w:t>42 CFR §457.1260(b)(3)</w:t>
            </w:r>
          </w:p>
          <w:p w14:paraId="777A1C5B" w14:textId="77777777" w:rsidR="009075F9" w:rsidRPr="001408D5" w:rsidRDefault="009075F9" w:rsidP="009075F9">
            <w:pPr>
              <w:pStyle w:val="HSAGTableContracttext"/>
              <w:rPr>
                <w:i/>
              </w:rPr>
            </w:pPr>
            <w:r w:rsidRPr="001408D5">
              <w:lastRenderedPageBreak/>
              <w:t xml:space="preserve">Contract Schedule A—1(M)(1)(d) </w:t>
            </w:r>
          </w:p>
          <w:p w14:paraId="229ED4A8" w14:textId="77777777" w:rsidR="009075F9" w:rsidRPr="001408D5" w:rsidRDefault="009075F9" w:rsidP="009075F9">
            <w:pPr>
              <w:pStyle w:val="HSAGTableContracttext"/>
              <w:rPr>
                <w:i/>
              </w:rPr>
            </w:pPr>
            <w:r w:rsidRPr="001408D5">
              <w:t>Contract Schedule A—1(M)(1)(e)(vii)</w:t>
            </w:r>
          </w:p>
          <w:p w14:paraId="425105C6" w14:textId="77777777" w:rsidR="009075F9" w:rsidRPr="001408D5" w:rsidRDefault="009075F9" w:rsidP="009075F9">
            <w:pPr>
              <w:pStyle w:val="HSAGTableContracttext"/>
              <w:rPr>
                <w:i/>
              </w:rPr>
            </w:pPr>
            <w:r w:rsidRPr="001408D5">
              <w:t>Contract Schedule A—1(M)(8)(b)(</w:t>
            </w:r>
            <w:proofErr w:type="spellStart"/>
            <w:r w:rsidRPr="001408D5">
              <w:t>i</w:t>
            </w:r>
            <w:proofErr w:type="spellEnd"/>
            <w:r w:rsidRPr="001408D5">
              <w:t>)</w:t>
            </w:r>
          </w:p>
          <w:p w14:paraId="3957677A" w14:textId="77777777" w:rsidR="009075F9" w:rsidRPr="001408D5" w:rsidRDefault="009075F9" w:rsidP="009075F9">
            <w:pPr>
              <w:pStyle w:val="HSAGTableContracttext"/>
              <w:rPr>
                <w:i/>
              </w:rPr>
            </w:pPr>
            <w:r w:rsidRPr="001408D5">
              <w:t>Appeal and Grievance Resolution Processes Technical Requirement—III</w:t>
            </w:r>
          </w:p>
          <w:p w14:paraId="0552B6A9" w14:textId="69299865" w:rsidR="009075F9" w:rsidRPr="00903F99" w:rsidRDefault="009075F9" w:rsidP="009075F9">
            <w:pPr>
              <w:pStyle w:val="HSAGTableContracttext"/>
              <w:keepNext/>
              <w:spacing w:before="0" w:after="0"/>
              <w:ind w:left="1440"/>
              <w:contextualSpacing/>
              <w:rPr>
                <w:i/>
                <w:szCs w:val="18"/>
              </w:rPr>
            </w:pPr>
            <w:r w:rsidRPr="001408D5">
              <w:t>Appeal and Grievance Resolution Processes Technical Requirement—VII(A)(2)</w:t>
            </w:r>
          </w:p>
        </w:tc>
        <w:tc>
          <w:tcPr>
            <w:tcW w:w="6114" w:type="dxa"/>
            <w:gridSpan w:val="2"/>
            <w:shd w:val="clear" w:color="auto" w:fill="FFFFFF" w:themeFill="background1"/>
          </w:tcPr>
          <w:p w14:paraId="7BC85C2A" w14:textId="77777777" w:rsidR="009075F9" w:rsidRPr="001408D5" w:rsidRDefault="009075F9" w:rsidP="009075F9">
            <w:pPr>
              <w:pStyle w:val="HSAGTableText"/>
              <w:contextualSpacing/>
              <w:rPr>
                <w:b/>
                <w:bCs/>
              </w:rPr>
            </w:pPr>
            <w:r w:rsidRPr="001408D5">
              <w:rPr>
                <w:b/>
                <w:bCs/>
              </w:rPr>
              <w:lastRenderedPageBreak/>
              <w:t>HSAG Required Evidence:</w:t>
            </w:r>
          </w:p>
          <w:p w14:paraId="5084B2AA" w14:textId="77777777" w:rsidR="009075F9" w:rsidRPr="001408D5" w:rsidRDefault="009075F9" w:rsidP="00595A8D">
            <w:pPr>
              <w:pStyle w:val="HSAGTableText"/>
              <w:numPr>
                <w:ilvl w:val="0"/>
                <w:numId w:val="19"/>
              </w:numPr>
              <w:contextualSpacing/>
            </w:pPr>
            <w:r w:rsidRPr="001408D5">
              <w:t>Policies and procedures</w:t>
            </w:r>
          </w:p>
          <w:p w14:paraId="0DC703E5" w14:textId="77777777" w:rsidR="009075F9" w:rsidRPr="001408D5" w:rsidRDefault="009075F9" w:rsidP="00595A8D">
            <w:pPr>
              <w:pStyle w:val="HSAGTableText"/>
              <w:numPr>
                <w:ilvl w:val="0"/>
                <w:numId w:val="19"/>
              </w:numPr>
              <w:contextualSpacing/>
            </w:pPr>
            <w:r w:rsidRPr="001408D5">
              <w:t>Member materials, such as the member handbook</w:t>
            </w:r>
          </w:p>
          <w:p w14:paraId="26ED1D64" w14:textId="77777777" w:rsidR="009075F9" w:rsidRPr="001408D5" w:rsidRDefault="009075F9" w:rsidP="00595A8D">
            <w:pPr>
              <w:pStyle w:val="HSAGTableText"/>
              <w:numPr>
                <w:ilvl w:val="0"/>
                <w:numId w:val="19"/>
              </w:numPr>
              <w:contextualSpacing/>
            </w:pPr>
            <w:r w:rsidRPr="001408D5">
              <w:t>Member consent form template</w:t>
            </w:r>
          </w:p>
          <w:p w14:paraId="718D5DD1" w14:textId="77777777" w:rsidR="009075F9" w:rsidRPr="001408D5" w:rsidRDefault="009075F9" w:rsidP="00595A8D">
            <w:pPr>
              <w:pStyle w:val="HSAGTableText"/>
              <w:numPr>
                <w:ilvl w:val="0"/>
                <w:numId w:val="19"/>
              </w:numPr>
              <w:contextualSpacing/>
            </w:pPr>
            <w:r w:rsidRPr="001408D5">
              <w:t>System screenshot of the field of where the individual who filed the appeal is documented</w:t>
            </w:r>
          </w:p>
          <w:p w14:paraId="5755089F" w14:textId="77777777" w:rsidR="009075F9" w:rsidRPr="001408D5" w:rsidRDefault="009075F9" w:rsidP="00595A8D">
            <w:pPr>
              <w:pStyle w:val="HSAGTableText"/>
              <w:numPr>
                <w:ilvl w:val="0"/>
                <w:numId w:val="19"/>
              </w:numPr>
              <w:contextualSpacing/>
            </w:pPr>
            <w:r w:rsidRPr="001408D5">
              <w:t>System screenshot of the field where written consent of the member is documented</w:t>
            </w:r>
          </w:p>
          <w:p w14:paraId="7438929A" w14:textId="77777777" w:rsidR="009075F9" w:rsidRPr="001408D5" w:rsidRDefault="009075F9" w:rsidP="00595A8D">
            <w:pPr>
              <w:pStyle w:val="HSAGTableText"/>
              <w:numPr>
                <w:ilvl w:val="0"/>
                <w:numId w:val="19"/>
              </w:numPr>
              <w:contextualSpacing/>
            </w:pPr>
            <w:r w:rsidRPr="001408D5">
              <w:t>System screenshot of the field where the filing mode is documented (i.e., orally or in writing)</w:t>
            </w:r>
          </w:p>
          <w:p w14:paraId="0983845D" w14:textId="77777777" w:rsidR="009075F9" w:rsidRDefault="009075F9" w:rsidP="00595A8D">
            <w:pPr>
              <w:pStyle w:val="HSAGTableText"/>
              <w:numPr>
                <w:ilvl w:val="0"/>
                <w:numId w:val="19"/>
              </w:numPr>
              <w:contextualSpacing/>
            </w:pPr>
            <w:r w:rsidRPr="001408D5">
              <w:t>Three case examples of an appeal filed by someone other than the member, including the member’s written consent</w:t>
            </w:r>
          </w:p>
          <w:p w14:paraId="513611FD" w14:textId="740BF359" w:rsidR="009075F9" w:rsidRPr="00903F99" w:rsidRDefault="009075F9" w:rsidP="00595A8D">
            <w:pPr>
              <w:pStyle w:val="HSAGTableText"/>
              <w:numPr>
                <w:ilvl w:val="0"/>
                <w:numId w:val="19"/>
              </w:numPr>
              <w:contextualSpacing/>
            </w:pPr>
            <w:r w:rsidRPr="001408D5">
              <w:t>HSAG will also use the results of the Appeal File Review</w:t>
            </w:r>
          </w:p>
        </w:tc>
        <w:tc>
          <w:tcPr>
            <w:tcW w:w="1426" w:type="dxa"/>
            <w:vMerge w:val="restart"/>
            <w:shd w:val="clear" w:color="auto" w:fill="FFFFFF" w:themeFill="background1"/>
          </w:tcPr>
          <w:p w14:paraId="522FAF3D" w14:textId="77777777" w:rsidR="009075F9" w:rsidRPr="001408D5" w:rsidRDefault="00000000" w:rsidP="009075F9">
            <w:pPr>
              <w:spacing w:before="60" w:after="0"/>
              <w:contextualSpacing/>
              <w:rPr>
                <w:sz w:val="22"/>
              </w:rPr>
            </w:pPr>
            <w:sdt>
              <w:sdtPr>
                <w:rPr>
                  <w:rFonts w:ascii="MS Gothic" w:eastAsia="MS Gothic" w:hAnsi="MS Gothic" w:hint="eastAsia"/>
                  <w:sz w:val="22"/>
                </w:rPr>
                <w:id w:val="-1033109393"/>
                <w14:checkbox>
                  <w14:checked w14:val="0"/>
                  <w14:checkedState w14:val="2612" w14:font="MS Gothic"/>
                  <w14:uncheckedState w14:val="2610" w14:font="MS Gothic"/>
                </w14:checkbox>
              </w:sdtPr>
              <w:sdtContent>
                <w:r w:rsidR="009075F9" w:rsidRPr="001408D5">
                  <w:rPr>
                    <w:rFonts w:ascii="MS Gothic" w:eastAsia="MS Gothic" w:hAnsi="MS Gothic" w:hint="eastAsia"/>
                    <w:sz w:val="22"/>
                  </w:rPr>
                  <w:t>☐</w:t>
                </w:r>
              </w:sdtContent>
            </w:sdt>
            <w:r w:rsidR="009075F9" w:rsidRPr="001408D5">
              <w:rPr>
                <w:sz w:val="22"/>
              </w:rPr>
              <w:t xml:space="preserve"> Met</w:t>
            </w:r>
          </w:p>
          <w:p w14:paraId="0A629473" w14:textId="77777777" w:rsidR="009075F9" w:rsidRPr="001408D5" w:rsidRDefault="00000000" w:rsidP="009075F9">
            <w:pPr>
              <w:spacing w:before="60" w:after="0"/>
              <w:contextualSpacing/>
              <w:rPr>
                <w:sz w:val="22"/>
              </w:rPr>
            </w:pPr>
            <w:sdt>
              <w:sdtPr>
                <w:rPr>
                  <w:rFonts w:ascii="MS Gothic" w:eastAsia="MS Gothic" w:hAnsi="MS Gothic" w:hint="eastAsia"/>
                  <w:sz w:val="22"/>
                </w:rPr>
                <w:id w:val="1100531669"/>
                <w14:checkbox>
                  <w14:checked w14:val="1"/>
                  <w14:checkedState w14:val="2612" w14:font="MS Gothic"/>
                  <w14:uncheckedState w14:val="2610" w14:font="MS Gothic"/>
                </w14:checkbox>
              </w:sdtPr>
              <w:sdtContent>
                <w:r w:rsidR="009075F9" w:rsidRPr="001408D5">
                  <w:rPr>
                    <w:rFonts w:ascii="MS Gothic" w:eastAsia="MS Gothic" w:hAnsi="MS Gothic" w:hint="eastAsia"/>
                    <w:sz w:val="22"/>
                  </w:rPr>
                  <w:t>☒</w:t>
                </w:r>
              </w:sdtContent>
            </w:sdt>
            <w:r w:rsidR="009075F9" w:rsidRPr="001408D5">
              <w:rPr>
                <w:sz w:val="22"/>
              </w:rPr>
              <w:t xml:space="preserve"> Not Met</w:t>
            </w:r>
          </w:p>
          <w:p w14:paraId="02E5B8BA" w14:textId="77777777" w:rsidR="009075F9" w:rsidRPr="001408D5" w:rsidRDefault="009075F9" w:rsidP="009075F9">
            <w:pPr>
              <w:spacing w:before="60" w:after="0"/>
              <w:contextualSpacing/>
              <w:rPr>
                <w:sz w:val="22"/>
              </w:rPr>
            </w:pPr>
            <w:r w:rsidRPr="001408D5">
              <w:rPr>
                <w:rFonts w:ascii="MS Gothic" w:eastAsia="MS Gothic" w:hAnsi="MS Gothic" w:hint="eastAsia"/>
                <w:sz w:val="22"/>
              </w:rPr>
              <w:t>☐</w:t>
            </w:r>
            <w:r w:rsidRPr="001408D5">
              <w:rPr>
                <w:sz w:val="22"/>
              </w:rPr>
              <w:t xml:space="preserve"> NA</w:t>
            </w:r>
          </w:p>
          <w:p w14:paraId="225CF147" w14:textId="77777777" w:rsidR="009075F9" w:rsidRPr="00903F99" w:rsidRDefault="009075F9" w:rsidP="009075F9">
            <w:pPr>
              <w:spacing w:before="0" w:after="0"/>
              <w:contextualSpacing/>
              <w:rPr>
                <w:sz w:val="22"/>
              </w:rPr>
            </w:pPr>
          </w:p>
        </w:tc>
      </w:tr>
      <w:tr w:rsidR="009075F9" w:rsidRPr="00903F99" w14:paraId="4B7FAB19" w14:textId="77777777" w:rsidTr="00683305">
        <w:trPr>
          <w:trHeight w:val="374"/>
          <w:jc w:val="center"/>
        </w:trPr>
        <w:tc>
          <w:tcPr>
            <w:tcW w:w="6471" w:type="dxa"/>
            <w:gridSpan w:val="2"/>
            <w:vMerge/>
          </w:tcPr>
          <w:p w14:paraId="51B838DC" w14:textId="77777777" w:rsidR="009075F9" w:rsidRPr="00903F99" w:rsidRDefault="009075F9" w:rsidP="00595A8D">
            <w:pPr>
              <w:pStyle w:val="HSAGNumbers"/>
              <w:numPr>
                <w:ilvl w:val="0"/>
                <w:numId w:val="16"/>
              </w:numPr>
              <w:spacing w:before="0" w:after="0"/>
              <w:contextualSpacing/>
            </w:pPr>
          </w:p>
        </w:tc>
        <w:tc>
          <w:tcPr>
            <w:tcW w:w="6114" w:type="dxa"/>
            <w:gridSpan w:val="2"/>
            <w:shd w:val="clear" w:color="auto" w:fill="FFFFFF" w:themeFill="background1"/>
          </w:tcPr>
          <w:p w14:paraId="41EC6CD8" w14:textId="77777777" w:rsidR="009075F9" w:rsidRPr="001408D5" w:rsidRDefault="009075F9" w:rsidP="009075F9">
            <w:pPr>
              <w:pStyle w:val="HSAGTableText"/>
              <w:contextualSpacing/>
              <w:rPr>
                <w:b/>
                <w:bCs/>
              </w:rPr>
            </w:pPr>
            <w:r w:rsidRPr="001408D5">
              <w:rPr>
                <w:b/>
                <w:bCs/>
              </w:rPr>
              <w:t>Evidence as Submitted by the PIHP:</w:t>
            </w:r>
          </w:p>
          <w:p w14:paraId="261879EF" w14:textId="77777777" w:rsidR="009075F9" w:rsidRPr="001408D5" w:rsidRDefault="009075F9" w:rsidP="00595A8D">
            <w:pPr>
              <w:pStyle w:val="HSAGTableText"/>
              <w:numPr>
                <w:ilvl w:val="0"/>
                <w:numId w:val="28"/>
              </w:numPr>
              <w:contextualSpacing/>
            </w:pPr>
            <w:r w:rsidRPr="001408D5">
              <w:t>S9_E14_Appeal Written Consent</w:t>
            </w:r>
          </w:p>
          <w:p w14:paraId="140A79AD" w14:textId="77777777" w:rsidR="009075F9" w:rsidRPr="001408D5" w:rsidRDefault="009075F9" w:rsidP="00595A8D">
            <w:pPr>
              <w:pStyle w:val="HSAGTableText"/>
              <w:numPr>
                <w:ilvl w:val="0"/>
                <w:numId w:val="28"/>
              </w:numPr>
              <w:contextualSpacing/>
            </w:pPr>
            <w:r w:rsidRPr="001408D5">
              <w:t xml:space="preserve">S9_E14_Grievance and Appeals </w:t>
            </w:r>
            <w:proofErr w:type="spellStart"/>
            <w:r w:rsidRPr="001408D5">
              <w:t>Procedure_page</w:t>
            </w:r>
            <w:proofErr w:type="spellEnd"/>
            <w:r w:rsidRPr="001408D5">
              <w:t xml:space="preserve"> 5</w:t>
            </w:r>
          </w:p>
          <w:p w14:paraId="70EAAFFF" w14:textId="77777777" w:rsidR="009075F9" w:rsidRPr="001408D5" w:rsidRDefault="009075F9" w:rsidP="00595A8D">
            <w:pPr>
              <w:pStyle w:val="HSAGTableText"/>
              <w:numPr>
                <w:ilvl w:val="0"/>
                <w:numId w:val="28"/>
              </w:numPr>
              <w:contextualSpacing/>
            </w:pPr>
            <w:r w:rsidRPr="001408D5">
              <w:t xml:space="preserve">S9_E14_Member </w:t>
            </w:r>
            <w:proofErr w:type="spellStart"/>
            <w:r w:rsidRPr="001408D5">
              <w:t>Handbook_member</w:t>
            </w:r>
            <w:proofErr w:type="spellEnd"/>
            <w:r w:rsidRPr="001408D5">
              <w:t xml:space="preserve"> </w:t>
            </w:r>
            <w:proofErr w:type="spellStart"/>
            <w:r w:rsidRPr="001408D5">
              <w:t>consent_page</w:t>
            </w:r>
            <w:proofErr w:type="spellEnd"/>
            <w:r w:rsidRPr="001408D5">
              <w:t xml:space="preserve"> 15</w:t>
            </w:r>
          </w:p>
          <w:p w14:paraId="766EB4C8" w14:textId="77777777" w:rsidR="009075F9" w:rsidRPr="001408D5" w:rsidRDefault="009075F9" w:rsidP="00595A8D">
            <w:pPr>
              <w:pStyle w:val="HSAGTableText"/>
              <w:numPr>
                <w:ilvl w:val="0"/>
                <w:numId w:val="28"/>
              </w:numPr>
              <w:contextualSpacing/>
            </w:pPr>
            <w:r w:rsidRPr="001408D5">
              <w:t>S9_E14_Screenshot Consent</w:t>
            </w:r>
          </w:p>
          <w:p w14:paraId="05C04BB3" w14:textId="77777777" w:rsidR="009075F9" w:rsidRDefault="009075F9" w:rsidP="00595A8D">
            <w:pPr>
              <w:pStyle w:val="HSAGTableText"/>
              <w:numPr>
                <w:ilvl w:val="0"/>
                <w:numId w:val="28"/>
              </w:numPr>
              <w:contextualSpacing/>
            </w:pPr>
            <w:r w:rsidRPr="001408D5">
              <w:lastRenderedPageBreak/>
              <w:t>S9_E14a_filing mode</w:t>
            </w:r>
          </w:p>
          <w:p w14:paraId="236A20C6" w14:textId="0755E85F" w:rsidR="009075F9" w:rsidRPr="00903F99" w:rsidRDefault="009075F9" w:rsidP="00595A8D">
            <w:pPr>
              <w:pStyle w:val="HSAGTableText"/>
              <w:numPr>
                <w:ilvl w:val="0"/>
                <w:numId w:val="28"/>
              </w:numPr>
              <w:contextualSpacing/>
            </w:pPr>
            <w:r w:rsidRPr="001408D5">
              <w:t>S9_E14a_screenshot appellant</w:t>
            </w:r>
          </w:p>
        </w:tc>
        <w:tc>
          <w:tcPr>
            <w:tcW w:w="1426" w:type="dxa"/>
            <w:vMerge/>
            <w:shd w:val="clear" w:color="auto" w:fill="FFFFFF" w:themeFill="background1"/>
          </w:tcPr>
          <w:p w14:paraId="3977FF08" w14:textId="77777777" w:rsidR="009075F9" w:rsidRPr="00903F99" w:rsidRDefault="009075F9" w:rsidP="009075F9">
            <w:pPr>
              <w:spacing w:before="0" w:after="0"/>
              <w:contextualSpacing/>
              <w:rPr>
                <w:sz w:val="22"/>
              </w:rPr>
            </w:pPr>
          </w:p>
        </w:tc>
      </w:tr>
      <w:tr w:rsidR="009075F9" w:rsidRPr="00903F99" w14:paraId="0748E79F" w14:textId="77777777" w:rsidTr="00683305">
        <w:trPr>
          <w:trHeight w:val="374"/>
          <w:jc w:val="center"/>
        </w:trPr>
        <w:tc>
          <w:tcPr>
            <w:tcW w:w="14011" w:type="dxa"/>
            <w:gridSpan w:val="5"/>
            <w:vAlign w:val="center"/>
          </w:tcPr>
          <w:p w14:paraId="7BD3CC13" w14:textId="6207CF79" w:rsidR="009075F9" w:rsidRPr="00903F99" w:rsidRDefault="009075F9" w:rsidP="009075F9">
            <w:pPr>
              <w:pStyle w:val="HSAGTableText"/>
              <w:spacing w:before="0" w:after="0"/>
            </w:pPr>
            <w:r w:rsidRPr="001408D5">
              <w:rPr>
                <w:b/>
              </w:rPr>
              <w:t>PIHP Description of Process:</w:t>
            </w:r>
            <w:r w:rsidRPr="001408D5">
              <w:t xml:space="preserve"> The PIHP accepts the beneficiary’s request for an appeal both orally and in </w:t>
            </w:r>
            <w:proofErr w:type="gramStart"/>
            <w:r w:rsidRPr="001408D5">
              <w:t>writing, and</w:t>
            </w:r>
            <w:proofErr w:type="gramEnd"/>
            <w:r w:rsidRPr="001408D5">
              <w:t xml:space="preserve"> also accepts written consent from a beneficiary for someone other than the beneficiary to file the appeal on their behalf. The PIHP will notify the beneficiary that an authorized form is needed </w:t>
            </w:r>
            <w:proofErr w:type="gramStart"/>
            <w:r w:rsidRPr="001408D5">
              <w:t>in order for</w:t>
            </w:r>
            <w:proofErr w:type="gramEnd"/>
            <w:r w:rsidRPr="001408D5">
              <w:t xml:space="preserve"> a representative (someone other than the beneficiary) to file the appeal, including but not limited to, health care providers. </w:t>
            </w:r>
          </w:p>
        </w:tc>
      </w:tr>
      <w:tr w:rsidR="009075F9" w:rsidRPr="0026679F" w14:paraId="47B759A0" w14:textId="77777777" w:rsidTr="00683305">
        <w:trPr>
          <w:trHeight w:val="374"/>
          <w:jc w:val="center"/>
        </w:trPr>
        <w:tc>
          <w:tcPr>
            <w:tcW w:w="14011" w:type="dxa"/>
            <w:gridSpan w:val="5"/>
            <w:tcBorders>
              <w:bottom w:val="single" w:sz="4" w:space="0" w:color="000000"/>
            </w:tcBorders>
            <w:vAlign w:val="center"/>
          </w:tcPr>
          <w:p w14:paraId="60AF3BD5" w14:textId="77777777" w:rsidR="009075F9" w:rsidRPr="001408D5" w:rsidRDefault="009075F9" w:rsidP="009075F9">
            <w:pPr>
              <w:pStyle w:val="HSAGTableText"/>
              <w:rPr>
                <w:color w:val="auto"/>
              </w:rPr>
            </w:pPr>
            <w:r w:rsidRPr="001408D5">
              <w:rPr>
                <w:b/>
                <w:color w:val="auto"/>
              </w:rPr>
              <w:t>HSAG Findings:</w:t>
            </w:r>
            <w:r w:rsidRPr="001408D5">
              <w:rPr>
                <w:color w:val="auto"/>
              </w:rPr>
              <w:t xml:space="preserve"> The case file review identified one record (Sample 4) which included conflicting information about who requested the appeal (i.e., member or authorized representative). During the site review, HSAG requested confirmation for who requested the appeal, and if the appeal was requested by an individual who was not the member, evidence of the verification of the authorized representative. After the site review, the PIHP </w:t>
            </w:r>
            <w:r>
              <w:rPr>
                <w:color w:val="auto"/>
              </w:rPr>
              <w:t xml:space="preserve">staff members </w:t>
            </w:r>
            <w:r w:rsidRPr="001408D5">
              <w:rPr>
                <w:color w:val="auto"/>
              </w:rPr>
              <w:t xml:space="preserve">explained </w:t>
            </w:r>
            <w:r>
              <w:rPr>
                <w:color w:val="auto"/>
              </w:rPr>
              <w:t xml:space="preserve">that </w:t>
            </w:r>
            <w:r w:rsidRPr="001408D5">
              <w:rPr>
                <w:color w:val="auto"/>
              </w:rPr>
              <w:t>there was no additional documentation reported</w:t>
            </w:r>
            <w:r>
              <w:rPr>
                <w:color w:val="auto"/>
              </w:rPr>
              <w:t>,</w:t>
            </w:r>
            <w:r w:rsidRPr="001408D5">
              <w:rPr>
                <w:color w:val="auto"/>
              </w:rPr>
              <w:t xml:space="preserve"> and </w:t>
            </w:r>
            <w:r>
              <w:rPr>
                <w:color w:val="auto"/>
              </w:rPr>
              <w:t>the PIHP</w:t>
            </w:r>
            <w:r w:rsidRPr="001408D5">
              <w:rPr>
                <w:color w:val="auto"/>
              </w:rPr>
              <w:t xml:space="preserve"> will work with its CMHPS on regular monitoring and appeal cases and provide additional training. Additionally, the PIHP also submitted two additional case examples after the site review. While one example included evidence of guardianship, the second example only included a screenshot indicating that the appeal was filed by a provider and the authorized representative was verified via email; however, the email or confirmation of the authorized representative consent form from the member were not provided. Further, the case file review identified one record (Sample 5) in which the appeal was requested by a provider; however, HSAG was unable to locate the written consent of the member for the provider to appeal on the member’s behalf. Documentation in the record also suggested that the case may have been a provider payment dispute as the member had already received the service and/or was a retro-authorization request. After the site review, the PIHP confirmed that the CMHSP considers these cases as appeals since the provider is disputing the clinical length of stay; therefore, this is a clinical issue and not a billing issue. However, if these cases are considered an appeal and processed as a member appeal, the PIHP and its CMHSP must follow all member appeal processing guidelines (i.e., obtain the member’s written consent for the provider to appeal on the member’s behalf). However, it was also unclear whether this case was truly an appeal as the request from the provider was for a retro-authorization and no ABD notice was submitted with the case file. An appeal is a review of an ABD; therefore, if there was no initial ABD, it does not appear that this case qualified as an appeal. </w:t>
            </w:r>
          </w:p>
          <w:p w14:paraId="12EA75D6" w14:textId="3D974347" w:rsidR="009075F9" w:rsidRPr="0026679F" w:rsidRDefault="009075F9" w:rsidP="009075F9">
            <w:pPr>
              <w:pStyle w:val="HSAGTableText"/>
              <w:spacing w:before="0"/>
            </w:pPr>
            <w:r w:rsidRPr="001408D5">
              <w:rPr>
                <w:b/>
                <w:bCs/>
                <w:color w:val="auto"/>
              </w:rPr>
              <w:t>Recommendations:</w:t>
            </w:r>
            <w:r w:rsidRPr="001408D5">
              <w:rPr>
                <w:color w:val="auto"/>
              </w:rPr>
              <w:t xml:space="preserve"> HSAG recommends that the PIHP update policy to include the requirements of sub-element (b). Additionally, as the PIHP proceeds with conducting additional training on the requirements of this element, HSAG recommends that it </w:t>
            </w:r>
            <w:proofErr w:type="gramStart"/>
            <w:r w:rsidRPr="001408D5">
              <w:rPr>
                <w:color w:val="auto"/>
              </w:rPr>
              <w:t>include</w:t>
            </w:r>
            <w:proofErr w:type="gramEnd"/>
            <w:r w:rsidRPr="001408D5">
              <w:rPr>
                <w:color w:val="auto"/>
              </w:rPr>
              <w:t xml:space="preserve"> an emphasis on verifying an authorized representative when an appeal is filed by an individual who is not </w:t>
            </w:r>
            <w:proofErr w:type="gramStart"/>
            <w:r w:rsidRPr="001408D5">
              <w:rPr>
                <w:color w:val="auto"/>
              </w:rPr>
              <w:t>the</w:t>
            </w:r>
            <w:proofErr w:type="gramEnd"/>
            <w:r w:rsidRPr="001408D5">
              <w:rPr>
                <w:color w:val="auto"/>
              </w:rPr>
              <w:t xml:space="preserve"> member. This may include verification of guardianship or obtaining the member’s written consent. As an alternative, the PIHP could contact and speak directly with the </w:t>
            </w:r>
            <w:proofErr w:type="gramStart"/>
            <w:r w:rsidRPr="001408D5">
              <w:rPr>
                <w:color w:val="auto"/>
              </w:rPr>
              <w:t>member</w:t>
            </w:r>
            <w:proofErr w:type="gramEnd"/>
            <w:r w:rsidRPr="001408D5">
              <w:rPr>
                <w:color w:val="auto"/>
              </w:rPr>
              <w:t xml:space="preserve">. If the member verbally requests that he or she wants to file the appeal, the PIHP should document this case as an appeal verbally requested by the member. However, if the PIHP is accepting the verbal request for the appeal by the member, the individual who initially requested the appeal cannot be a party to the appeal (i.e., authorized representative) without the member’s written consent. Therefore, all appeal communications (e.g., acknowledgement and resolution notices) must occur directly with the member. </w:t>
            </w:r>
          </w:p>
        </w:tc>
      </w:tr>
      <w:tr w:rsidR="009075F9" w:rsidRPr="0026679F" w14:paraId="00972887" w14:textId="77777777" w:rsidTr="00683305">
        <w:trPr>
          <w:trHeight w:val="374"/>
          <w:jc w:val="center"/>
        </w:trPr>
        <w:tc>
          <w:tcPr>
            <w:tcW w:w="14011" w:type="dxa"/>
            <w:gridSpan w:val="5"/>
            <w:tcBorders>
              <w:top w:val="single" w:sz="4" w:space="0" w:color="000000"/>
              <w:bottom w:val="single" w:sz="4" w:space="0" w:color="auto"/>
            </w:tcBorders>
            <w:vAlign w:val="center"/>
          </w:tcPr>
          <w:p w14:paraId="5FF62285" w14:textId="6EFCE005" w:rsidR="009075F9" w:rsidRPr="0026679F" w:rsidRDefault="009075F9" w:rsidP="009075F9">
            <w:pPr>
              <w:pStyle w:val="HSAGTableText"/>
              <w:rPr>
                <w:b/>
              </w:rPr>
            </w:pPr>
            <w:r w:rsidRPr="001408D5">
              <w:rPr>
                <w:b/>
              </w:rPr>
              <w:lastRenderedPageBreak/>
              <w:t>Required Actions:</w:t>
            </w:r>
            <w:r w:rsidRPr="001408D5">
              <w:t xml:space="preserve"> The PIHP must obtain the written consent of the member, a provider or an authorized representative to request an appeal on behalf of the member.</w:t>
            </w:r>
          </w:p>
        </w:tc>
      </w:tr>
      <w:tr w:rsidR="009075F9" w:rsidRPr="00D16F05" w14:paraId="41EF0EFD" w14:textId="77777777" w:rsidTr="00683305">
        <w:tblPrEx>
          <w:tblCellMar>
            <w:left w:w="108" w:type="dxa"/>
            <w:right w:w="108" w:type="dxa"/>
          </w:tblCellMar>
        </w:tblPrEx>
        <w:trPr>
          <w:gridBefore w:val="1"/>
          <w:wBefore w:w="7" w:type="dxa"/>
          <w:trHeight w:val="374"/>
          <w:jc w:val="center"/>
        </w:trPr>
        <w:tc>
          <w:tcPr>
            <w:tcW w:w="14004" w:type="dxa"/>
            <w:gridSpan w:val="4"/>
            <w:tcBorders>
              <w:top w:val="single" w:sz="4" w:space="0" w:color="auto"/>
              <w:bottom w:val="single" w:sz="4" w:space="0" w:color="000000" w:themeColor="text1"/>
            </w:tcBorders>
            <w:shd w:val="clear" w:color="auto" w:fill="F79548" w:themeFill="accent4"/>
          </w:tcPr>
          <w:p w14:paraId="41FA7F36" w14:textId="77777777" w:rsidR="009075F9" w:rsidRPr="00D16F05" w:rsidRDefault="009075F9" w:rsidP="009075F9">
            <w:pPr>
              <w:pStyle w:val="HSAGTableText"/>
              <w:keepNext/>
              <w:contextualSpacing/>
              <w:rPr>
                <w:b/>
              </w:rPr>
            </w:pPr>
            <w:r>
              <w:rPr>
                <w:b/>
              </w:rPr>
              <w:t>PIHP Corrective Action Plan</w:t>
            </w:r>
          </w:p>
        </w:tc>
      </w:tr>
      <w:tr w:rsidR="009075F9" w:rsidRPr="00984D92" w14:paraId="389497EF" w14:textId="77777777" w:rsidTr="00683305">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0B1ED316" w14:textId="1564540D" w:rsidR="009075F9" w:rsidRPr="00984D92" w:rsidRDefault="009075F9" w:rsidP="009075F9">
            <w:pPr>
              <w:pStyle w:val="HSAGTableText"/>
              <w:contextualSpacing/>
              <w:rPr>
                <w:bCs/>
              </w:rPr>
            </w:pPr>
            <w:r>
              <w:rPr>
                <w:b/>
              </w:rPr>
              <w:t>Root Cause Analysis:</w:t>
            </w:r>
            <w:r w:rsidRPr="003F5489">
              <w:rPr>
                <w:bCs/>
              </w:rPr>
              <w:t xml:space="preserve"> </w:t>
            </w:r>
            <w:r>
              <w:rPr>
                <w:bCs/>
              </w:rPr>
              <w:t>Lack of education on how to properly document authorized representatives.</w:t>
            </w:r>
          </w:p>
        </w:tc>
      </w:tr>
      <w:tr w:rsidR="009075F9" w:rsidRPr="00FC2C0F" w14:paraId="7B9D9A4D" w14:textId="77777777" w:rsidTr="00683305">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3795745B" w14:textId="1598C6BB" w:rsidR="009075F9" w:rsidRPr="00FC2C0F" w:rsidRDefault="009075F9" w:rsidP="009075F9">
            <w:pPr>
              <w:pStyle w:val="HSAGTableText"/>
              <w:contextualSpacing/>
              <w:rPr>
                <w:bCs/>
              </w:rPr>
            </w:pPr>
            <w:r>
              <w:rPr>
                <w:b/>
              </w:rPr>
              <w:t>PIHP Remediation Plan</w:t>
            </w:r>
            <w:r w:rsidRPr="00B30934">
              <w:rPr>
                <w:b/>
              </w:rPr>
              <w:t>:</w:t>
            </w:r>
            <w:r>
              <w:rPr>
                <w:bCs/>
              </w:rPr>
              <w:t xml:space="preserve"> The NMRE will update the NMRE Grievance and Appeal Policy to include the requirements of sub-element (b). Furthermore, the NMRE regional grievance and appeal training will emphasize the importance of verifying an authorized representative to file the appeal on behalf of the member, along with ensuring the verification is properly documented.</w:t>
            </w:r>
          </w:p>
        </w:tc>
      </w:tr>
      <w:tr w:rsidR="009075F9" w:rsidRPr="00FC2C0F" w14:paraId="65C7493B" w14:textId="77777777" w:rsidTr="00683305">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6835749B" w14:textId="1EB26C11" w:rsidR="009075F9" w:rsidRPr="00FC2C0F" w:rsidRDefault="009075F9" w:rsidP="009075F9">
            <w:pPr>
              <w:pStyle w:val="HSAGTableText"/>
              <w:contextualSpacing/>
              <w:rPr>
                <w:bCs/>
              </w:rPr>
            </w:pPr>
            <w:r w:rsidRPr="00B30934">
              <w:rPr>
                <w:b/>
              </w:rPr>
              <w:t>Responsible Individual(s):</w:t>
            </w:r>
            <w:r>
              <w:rPr>
                <w:bCs/>
              </w:rPr>
              <w:t xml:space="preserve"> </w:t>
            </w:r>
            <w:r>
              <w:t>Brie Molaison, NMRE Compliance and Customer Services Officer</w:t>
            </w:r>
          </w:p>
        </w:tc>
      </w:tr>
      <w:tr w:rsidR="009075F9" w:rsidRPr="00FC2C0F" w14:paraId="2CC3FFC8" w14:textId="77777777" w:rsidTr="00683305">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auto"/>
            </w:tcBorders>
          </w:tcPr>
          <w:p w14:paraId="29513DFE" w14:textId="253F1107" w:rsidR="009075F9" w:rsidRPr="00FC2C0F" w:rsidRDefault="009075F9" w:rsidP="009075F9">
            <w:pPr>
              <w:pStyle w:val="HSAGTableText"/>
              <w:contextualSpacing/>
              <w:rPr>
                <w:bCs/>
              </w:rPr>
            </w:pPr>
            <w:r w:rsidRPr="00B30934">
              <w:rPr>
                <w:b/>
              </w:rPr>
              <w:t>Timeline:</w:t>
            </w:r>
            <w:r>
              <w:rPr>
                <w:bCs/>
              </w:rPr>
              <w:t xml:space="preserve"> By March 2026</w:t>
            </w:r>
          </w:p>
        </w:tc>
      </w:tr>
      <w:tr w:rsidR="009075F9" w14:paraId="1EDACEC1" w14:textId="77777777" w:rsidTr="00683305">
        <w:tblPrEx>
          <w:tblCellMar>
            <w:left w:w="108" w:type="dxa"/>
            <w:right w:w="108" w:type="dxa"/>
          </w:tblCellMar>
        </w:tblPrEx>
        <w:trPr>
          <w:gridBefore w:val="1"/>
          <w:wBefore w:w="7" w:type="dxa"/>
          <w:trHeight w:val="374"/>
          <w:jc w:val="center"/>
        </w:trPr>
        <w:tc>
          <w:tcPr>
            <w:tcW w:w="10425" w:type="dxa"/>
            <w:gridSpan w:val="2"/>
            <w:tcBorders>
              <w:top w:val="single" w:sz="4" w:space="0" w:color="auto"/>
              <w:bottom w:val="single" w:sz="18" w:space="0" w:color="00549E" w:themeColor="text2"/>
            </w:tcBorders>
            <w:shd w:val="clear" w:color="auto" w:fill="F2F2F2" w:themeFill="background1" w:themeFillShade="F2"/>
          </w:tcPr>
          <w:p w14:paraId="76387292" w14:textId="07C2D342" w:rsidR="009075F9" w:rsidRPr="00FC2C0F" w:rsidRDefault="009075F9" w:rsidP="009075F9">
            <w:pPr>
              <w:pStyle w:val="HSAGTableText"/>
              <w:contextualSpacing/>
              <w:rPr>
                <w:bCs/>
              </w:rPr>
            </w:pPr>
            <w:r>
              <w:rPr>
                <w:b/>
              </w:rPr>
              <w:t>MDHHS/HSAG Response:</w:t>
            </w:r>
            <w:r>
              <w:rPr>
                <w:bCs/>
              </w:rPr>
              <w:t xml:space="preserve"> </w:t>
            </w:r>
            <w:r w:rsidR="00B47081" w:rsidRPr="00B47081">
              <w:rPr>
                <w:bCs/>
              </w:rPr>
              <w:t xml:space="preserve">The PIHP’s remediation plan is sufficient to ensure compliance with the requirements for this program area. While no additional information is required to be submitted at this time, the PIHP must proceed with </w:t>
            </w:r>
            <w:proofErr w:type="gramStart"/>
            <w:r w:rsidR="00B47081" w:rsidRPr="00B47081">
              <w:rPr>
                <w:bCs/>
              </w:rPr>
              <w:t>timely</w:t>
            </w:r>
            <w:proofErr w:type="gramEnd"/>
            <w:r w:rsidR="00B47081" w:rsidRPr="00B47081">
              <w:rPr>
                <w:bCs/>
              </w:rPr>
              <w:t xml:space="preserve"> implementation of its action plans. Please note, an </w:t>
            </w:r>
            <w:r w:rsidR="00B47081" w:rsidRPr="00B47081">
              <w:rPr>
                <w:bCs/>
                <w:i/>
                <w:iCs/>
              </w:rPr>
              <w:t>Accepted</w:t>
            </w:r>
            <w:r w:rsidR="00B47081" w:rsidRPr="00B47081">
              <w:rPr>
                <w:bCs/>
              </w:rPr>
              <w:t xml:space="preserve"> designation is not a guarantee of future compliance. Implementation of the PIHP’s action plans and demonstration of compliance will be assessed during future compliance review activities.</w:t>
            </w:r>
          </w:p>
        </w:tc>
        <w:tc>
          <w:tcPr>
            <w:tcW w:w="3579" w:type="dxa"/>
            <w:gridSpan w:val="2"/>
            <w:tcBorders>
              <w:top w:val="single" w:sz="4" w:space="0" w:color="auto"/>
              <w:bottom w:val="single" w:sz="18" w:space="0" w:color="00549E" w:themeColor="text2"/>
            </w:tcBorders>
            <w:shd w:val="clear" w:color="auto" w:fill="F2F2F2" w:themeFill="background1" w:themeFillShade="F2"/>
          </w:tcPr>
          <w:p w14:paraId="6E903FDA" w14:textId="256511DE" w:rsidR="009075F9" w:rsidRPr="00C123EE" w:rsidRDefault="00000000" w:rsidP="009075F9">
            <w:pPr>
              <w:pStyle w:val="HSAGTableText"/>
              <w:contextualSpacing/>
              <w:rPr>
                <w:bCs/>
              </w:rPr>
            </w:pPr>
            <w:sdt>
              <w:sdtPr>
                <w:rPr>
                  <w:bCs/>
                </w:rPr>
                <w:id w:val="-346867015"/>
                <w14:checkbox>
                  <w14:checked w14:val="1"/>
                  <w14:checkedState w14:val="2612" w14:font="MS Gothic"/>
                  <w14:uncheckedState w14:val="2610" w14:font="MS Gothic"/>
                </w14:checkbox>
              </w:sdtPr>
              <w:sdtContent>
                <w:r w:rsidR="00B47081">
                  <w:rPr>
                    <w:rFonts w:ascii="MS Gothic" w:eastAsia="MS Gothic" w:hAnsi="MS Gothic" w:hint="eastAsia"/>
                    <w:bCs/>
                  </w:rPr>
                  <w:t>☒</w:t>
                </w:r>
              </w:sdtContent>
            </w:sdt>
            <w:r w:rsidR="009075F9" w:rsidRPr="00C123EE">
              <w:rPr>
                <w:bCs/>
              </w:rPr>
              <w:t xml:space="preserve"> Accepted</w:t>
            </w:r>
          </w:p>
          <w:p w14:paraId="2EEE6EEE" w14:textId="77777777" w:rsidR="009075F9" w:rsidRPr="00C123EE" w:rsidRDefault="00000000" w:rsidP="009075F9">
            <w:pPr>
              <w:pStyle w:val="HSAGTableText"/>
              <w:contextualSpacing/>
              <w:rPr>
                <w:bCs/>
              </w:rPr>
            </w:pPr>
            <w:sdt>
              <w:sdtPr>
                <w:rPr>
                  <w:bCs/>
                </w:rPr>
                <w:id w:val="755479060"/>
                <w14:checkbox>
                  <w14:checked w14:val="0"/>
                  <w14:checkedState w14:val="2612" w14:font="MS Gothic"/>
                  <w14:uncheckedState w14:val="2610" w14:font="MS Gothic"/>
                </w14:checkbox>
              </w:sdtPr>
              <w:sdtContent>
                <w:r w:rsidR="009075F9" w:rsidRPr="00C123EE">
                  <w:rPr>
                    <w:rFonts w:ascii="MS Gothic" w:eastAsia="MS Gothic" w:hAnsi="MS Gothic" w:hint="eastAsia"/>
                    <w:bCs/>
                  </w:rPr>
                  <w:t>☐</w:t>
                </w:r>
              </w:sdtContent>
            </w:sdt>
            <w:r w:rsidR="009075F9" w:rsidRPr="00C123EE">
              <w:rPr>
                <w:bCs/>
              </w:rPr>
              <w:t xml:space="preserve"> Accepted </w:t>
            </w:r>
            <w:r w:rsidR="009075F9">
              <w:rPr>
                <w:bCs/>
              </w:rPr>
              <w:t>W</w:t>
            </w:r>
            <w:r w:rsidR="009075F9" w:rsidRPr="00C123EE">
              <w:rPr>
                <w:bCs/>
              </w:rPr>
              <w:t>ith Recommendations</w:t>
            </w:r>
          </w:p>
          <w:p w14:paraId="0C22671F" w14:textId="77777777" w:rsidR="009075F9" w:rsidRDefault="00000000" w:rsidP="009075F9">
            <w:pPr>
              <w:pStyle w:val="HSAGTableText"/>
              <w:contextualSpacing/>
              <w:rPr>
                <w:b/>
              </w:rPr>
            </w:pPr>
            <w:sdt>
              <w:sdtPr>
                <w:rPr>
                  <w:bCs/>
                </w:rPr>
                <w:id w:val="16820485"/>
                <w14:checkbox>
                  <w14:checked w14:val="0"/>
                  <w14:checkedState w14:val="2612" w14:font="MS Gothic"/>
                  <w14:uncheckedState w14:val="2610" w14:font="MS Gothic"/>
                </w14:checkbox>
              </w:sdtPr>
              <w:sdtContent>
                <w:r w:rsidR="009075F9" w:rsidRPr="00C123EE">
                  <w:rPr>
                    <w:rFonts w:ascii="MS Gothic" w:eastAsia="MS Gothic" w:hAnsi="MS Gothic" w:hint="eastAsia"/>
                    <w:bCs/>
                  </w:rPr>
                  <w:t>☐</w:t>
                </w:r>
              </w:sdtContent>
            </w:sdt>
            <w:r w:rsidR="009075F9" w:rsidRPr="00C123EE">
              <w:rPr>
                <w:bCs/>
              </w:rPr>
              <w:t xml:space="preserve"> Not Accepted</w:t>
            </w:r>
          </w:p>
        </w:tc>
      </w:tr>
      <w:tr w:rsidR="009075F9" w:rsidRPr="00903F99" w14:paraId="322AD23E" w14:textId="77777777" w:rsidTr="00683305">
        <w:trPr>
          <w:trHeight w:val="374"/>
          <w:jc w:val="center"/>
        </w:trPr>
        <w:tc>
          <w:tcPr>
            <w:tcW w:w="6471" w:type="dxa"/>
            <w:gridSpan w:val="2"/>
            <w:vMerge w:val="restart"/>
          </w:tcPr>
          <w:p w14:paraId="1D56380E" w14:textId="77777777" w:rsidR="009075F9" w:rsidRPr="001408D5" w:rsidRDefault="009075F9" w:rsidP="009075F9">
            <w:pPr>
              <w:pStyle w:val="ListNoNum"/>
            </w:pPr>
            <w:r w:rsidRPr="001408D5">
              <w:rPr>
                <w:spacing w:val="-4"/>
              </w:rPr>
              <w:t>15.</w:t>
            </w:r>
            <w:r w:rsidRPr="001408D5">
              <w:rPr>
                <w:spacing w:val="-4"/>
              </w:rPr>
              <w:tab/>
            </w:r>
            <w:r w:rsidRPr="001408D5">
              <w:t>If the PIHP denies a request for expedited resolution of an appeal, it:</w:t>
            </w:r>
          </w:p>
          <w:p w14:paraId="0FB12E3B" w14:textId="77777777" w:rsidR="009075F9" w:rsidRPr="001408D5" w:rsidRDefault="009075F9" w:rsidP="009075F9">
            <w:pPr>
              <w:pStyle w:val="ListNoNum2"/>
            </w:pPr>
            <w:r w:rsidRPr="001408D5">
              <w:t>a</w:t>
            </w:r>
            <w:proofErr w:type="gramStart"/>
            <w:r w:rsidRPr="001408D5">
              <w:t xml:space="preserve">. </w:t>
            </w:r>
            <w:r w:rsidRPr="001408D5">
              <w:tab/>
              <w:t>Transfers</w:t>
            </w:r>
            <w:proofErr w:type="gramEnd"/>
            <w:r w:rsidRPr="001408D5">
              <w:t xml:space="preserve"> the appeal to the time frame for standard resolution in accordance with 42 CFR §438.408(b)(2).</w:t>
            </w:r>
          </w:p>
          <w:p w14:paraId="1B47494E" w14:textId="77777777" w:rsidR="009075F9" w:rsidRPr="001408D5" w:rsidRDefault="009075F9" w:rsidP="009075F9">
            <w:pPr>
              <w:pStyle w:val="ListNoNum2"/>
            </w:pPr>
            <w:r w:rsidRPr="001408D5">
              <w:t>b</w:t>
            </w:r>
            <w:proofErr w:type="gramStart"/>
            <w:r w:rsidRPr="001408D5">
              <w:t xml:space="preserve">. </w:t>
            </w:r>
            <w:r w:rsidRPr="001408D5">
              <w:tab/>
              <w:t>Follows</w:t>
            </w:r>
            <w:proofErr w:type="gramEnd"/>
            <w:r w:rsidRPr="001408D5">
              <w:t xml:space="preserve"> the requirements in 42 CFR §438.408(c)(2), including:</w:t>
            </w:r>
          </w:p>
          <w:p w14:paraId="18D3EDD6" w14:textId="77777777" w:rsidR="009075F9" w:rsidRPr="001408D5" w:rsidRDefault="009075F9" w:rsidP="009075F9">
            <w:pPr>
              <w:pStyle w:val="ListNoNum3"/>
            </w:pPr>
            <w:proofErr w:type="spellStart"/>
            <w:r w:rsidRPr="001408D5">
              <w:t>i</w:t>
            </w:r>
            <w:proofErr w:type="spellEnd"/>
            <w:r w:rsidRPr="001408D5">
              <w:t>.</w:t>
            </w:r>
            <w:r w:rsidRPr="001408D5">
              <w:rPr>
                <w:i/>
              </w:rPr>
              <w:t xml:space="preserve"> </w:t>
            </w:r>
            <w:r w:rsidRPr="001408D5">
              <w:rPr>
                <w:i/>
              </w:rPr>
              <w:tab/>
            </w:r>
            <w:r w:rsidRPr="001408D5">
              <w:t>Makes reasonable efforts to give the member prompt oral notice of the delay.</w:t>
            </w:r>
          </w:p>
          <w:p w14:paraId="1557DC93" w14:textId="77777777" w:rsidR="009075F9" w:rsidRPr="001408D5" w:rsidRDefault="009075F9" w:rsidP="009075F9">
            <w:pPr>
              <w:pStyle w:val="ListNoNum3"/>
            </w:pPr>
            <w:r w:rsidRPr="001408D5">
              <w:t>ii</w:t>
            </w:r>
            <w:proofErr w:type="gramStart"/>
            <w:r w:rsidRPr="001408D5">
              <w:t>.</w:t>
            </w:r>
            <w:r w:rsidRPr="001408D5">
              <w:rPr>
                <w:i/>
              </w:rPr>
              <w:t xml:space="preserve"> </w:t>
            </w:r>
            <w:r w:rsidRPr="001408D5">
              <w:rPr>
                <w:i/>
              </w:rPr>
              <w:tab/>
            </w:r>
            <w:r w:rsidRPr="001408D5">
              <w:t>Within</w:t>
            </w:r>
            <w:proofErr w:type="gramEnd"/>
            <w:r w:rsidRPr="001408D5">
              <w:t xml:space="preserve"> two calendar days, gives the member written notice of the reason for the decision to deny the expedited appeal resolution time frame and informs the member of </w:t>
            </w:r>
            <w:r w:rsidRPr="001408D5">
              <w:lastRenderedPageBreak/>
              <w:t>the right to file a grievance if the member disagrees with that decision.</w:t>
            </w:r>
          </w:p>
          <w:p w14:paraId="66B59EDC" w14:textId="77777777" w:rsidR="009075F9" w:rsidRPr="001408D5" w:rsidRDefault="009075F9" w:rsidP="009075F9">
            <w:pPr>
              <w:pStyle w:val="HSAGTableContracttext"/>
            </w:pPr>
          </w:p>
          <w:p w14:paraId="609C453F" w14:textId="77777777" w:rsidR="009075F9" w:rsidRPr="001408D5" w:rsidRDefault="009075F9" w:rsidP="009075F9">
            <w:pPr>
              <w:pStyle w:val="HSAGTableContracttext"/>
            </w:pPr>
            <w:r w:rsidRPr="001408D5">
              <w:t>42 CFR §438.228</w:t>
            </w:r>
          </w:p>
          <w:p w14:paraId="66196E3B" w14:textId="77777777" w:rsidR="009075F9" w:rsidRPr="001408D5" w:rsidRDefault="009075F9" w:rsidP="009075F9">
            <w:pPr>
              <w:pStyle w:val="HSAGTableContracttext"/>
            </w:pPr>
            <w:r w:rsidRPr="001408D5">
              <w:t>42 CFR §438.408(b)(2)</w:t>
            </w:r>
          </w:p>
          <w:p w14:paraId="78A6C04C" w14:textId="77777777" w:rsidR="009075F9" w:rsidRPr="001408D5" w:rsidRDefault="009075F9" w:rsidP="009075F9">
            <w:pPr>
              <w:pStyle w:val="HSAGTableContracttext"/>
            </w:pPr>
            <w:r w:rsidRPr="001408D5">
              <w:t>42 CFR §438.408(c)(2)</w:t>
            </w:r>
          </w:p>
          <w:p w14:paraId="302C0EE8" w14:textId="77777777" w:rsidR="009075F9" w:rsidRPr="001408D5" w:rsidRDefault="009075F9" w:rsidP="009075F9">
            <w:pPr>
              <w:pStyle w:val="HSAGTableContracttext"/>
            </w:pPr>
            <w:r w:rsidRPr="001408D5">
              <w:t>42 CFR §438.410(c)</w:t>
            </w:r>
          </w:p>
          <w:p w14:paraId="2544B851" w14:textId="77777777" w:rsidR="009075F9" w:rsidRPr="001408D5" w:rsidRDefault="009075F9" w:rsidP="009075F9">
            <w:pPr>
              <w:pStyle w:val="HSAGTableContracttext"/>
            </w:pPr>
            <w:r w:rsidRPr="001408D5">
              <w:t>42 CFR §457.1260(f)</w:t>
            </w:r>
          </w:p>
          <w:p w14:paraId="585FD3B1" w14:textId="77777777" w:rsidR="009075F9" w:rsidRPr="001408D5" w:rsidRDefault="009075F9" w:rsidP="009075F9">
            <w:pPr>
              <w:pStyle w:val="HSAGTableContracttext"/>
            </w:pPr>
            <w:r w:rsidRPr="001408D5">
              <w:t>Contract Schedule A—1(M)(8)(b)(v)</w:t>
            </w:r>
          </w:p>
          <w:p w14:paraId="4B3A8852" w14:textId="11C7928C" w:rsidR="009075F9" w:rsidRPr="00903F99" w:rsidRDefault="009075F9" w:rsidP="009075F9">
            <w:pPr>
              <w:pStyle w:val="HSAGTableContracttext"/>
              <w:keepNext/>
              <w:spacing w:before="0" w:after="0"/>
              <w:ind w:left="1440"/>
              <w:contextualSpacing/>
              <w:rPr>
                <w:i/>
                <w:szCs w:val="18"/>
              </w:rPr>
            </w:pPr>
            <w:r w:rsidRPr="001408D5">
              <w:t>Appeal and Grievance Resolution Processes Technical Requirement—VII(C)(2)(</w:t>
            </w:r>
            <w:proofErr w:type="gramStart"/>
            <w:r w:rsidRPr="001408D5">
              <w:t>c)(</w:t>
            </w:r>
            <w:proofErr w:type="spellStart"/>
            <w:proofErr w:type="gramEnd"/>
            <w:r w:rsidRPr="001408D5">
              <w:t>i</w:t>
            </w:r>
            <w:proofErr w:type="spellEnd"/>
            <w:r w:rsidRPr="001408D5">
              <w:t>–iii)</w:t>
            </w:r>
          </w:p>
        </w:tc>
        <w:tc>
          <w:tcPr>
            <w:tcW w:w="6114" w:type="dxa"/>
            <w:gridSpan w:val="2"/>
            <w:shd w:val="clear" w:color="auto" w:fill="FFFFFF" w:themeFill="background1"/>
          </w:tcPr>
          <w:p w14:paraId="5F7B838F" w14:textId="77777777" w:rsidR="009075F9" w:rsidRPr="001408D5" w:rsidRDefault="009075F9" w:rsidP="009075F9">
            <w:pPr>
              <w:pStyle w:val="HSAGTableText"/>
              <w:contextualSpacing/>
              <w:rPr>
                <w:b/>
                <w:bCs/>
              </w:rPr>
            </w:pPr>
            <w:r w:rsidRPr="001408D5">
              <w:rPr>
                <w:b/>
                <w:bCs/>
              </w:rPr>
              <w:lastRenderedPageBreak/>
              <w:t>HSAG Required Evidence:</w:t>
            </w:r>
          </w:p>
          <w:p w14:paraId="2072F1AC" w14:textId="77777777" w:rsidR="009075F9" w:rsidRPr="001408D5" w:rsidRDefault="009075F9" w:rsidP="00595A8D">
            <w:pPr>
              <w:pStyle w:val="HSAGTableText"/>
              <w:numPr>
                <w:ilvl w:val="0"/>
                <w:numId w:val="19"/>
              </w:numPr>
              <w:contextualSpacing/>
            </w:pPr>
            <w:r w:rsidRPr="001408D5">
              <w:t>Policies and procedures</w:t>
            </w:r>
          </w:p>
          <w:p w14:paraId="74AE1C76" w14:textId="77777777" w:rsidR="009075F9" w:rsidRPr="001408D5" w:rsidRDefault="009075F9" w:rsidP="00595A8D">
            <w:pPr>
              <w:pStyle w:val="HSAGTableText"/>
              <w:numPr>
                <w:ilvl w:val="0"/>
                <w:numId w:val="19"/>
              </w:numPr>
              <w:contextualSpacing/>
            </w:pPr>
            <w:r w:rsidRPr="001408D5">
              <w:t>Denied expedited resolution letter template</w:t>
            </w:r>
          </w:p>
          <w:p w14:paraId="5686D7EC" w14:textId="77777777" w:rsidR="009075F9" w:rsidRPr="001408D5" w:rsidRDefault="009075F9" w:rsidP="00595A8D">
            <w:pPr>
              <w:pStyle w:val="HSAGTableText"/>
              <w:numPr>
                <w:ilvl w:val="0"/>
                <w:numId w:val="19"/>
              </w:numPr>
              <w:contextualSpacing/>
            </w:pPr>
            <w:r w:rsidRPr="001408D5">
              <w:t>System screenshot of the field where the type of appeal request is documented (i.e., standard versus expedited)</w:t>
            </w:r>
          </w:p>
          <w:p w14:paraId="0E1658B9" w14:textId="77777777" w:rsidR="009075F9" w:rsidRPr="001408D5" w:rsidRDefault="009075F9" w:rsidP="00595A8D">
            <w:pPr>
              <w:pStyle w:val="HSAGTableText"/>
              <w:numPr>
                <w:ilvl w:val="0"/>
                <w:numId w:val="19"/>
              </w:numPr>
              <w:contextualSpacing/>
            </w:pPr>
            <w:r w:rsidRPr="001408D5">
              <w:t>System screenshot of the field where the denial of an expedited appeal resolution time frame is documented</w:t>
            </w:r>
          </w:p>
          <w:p w14:paraId="0A565879" w14:textId="77777777" w:rsidR="009075F9" w:rsidRPr="001408D5" w:rsidRDefault="009075F9" w:rsidP="00595A8D">
            <w:pPr>
              <w:pStyle w:val="HSAGTableText"/>
              <w:numPr>
                <w:ilvl w:val="0"/>
                <w:numId w:val="19"/>
              </w:numPr>
              <w:contextualSpacing/>
            </w:pPr>
            <w:r w:rsidRPr="001408D5">
              <w:t>System screenshot of the field where oral and written notice of the denied request for an expedited appeal resolution time frame is documented</w:t>
            </w:r>
          </w:p>
          <w:p w14:paraId="54FA23E6" w14:textId="77777777" w:rsidR="009075F9" w:rsidRDefault="009075F9" w:rsidP="00595A8D">
            <w:pPr>
              <w:pStyle w:val="HSAGTableText"/>
              <w:numPr>
                <w:ilvl w:val="0"/>
                <w:numId w:val="19"/>
              </w:numPr>
              <w:contextualSpacing/>
            </w:pPr>
            <w:r w:rsidRPr="001408D5">
              <w:t>Three case examples of a denied request for an expedited appeal resolution time frame, including oral and written notice of the denied request</w:t>
            </w:r>
          </w:p>
          <w:p w14:paraId="1F8C9333" w14:textId="4B09E099" w:rsidR="009075F9" w:rsidRPr="00903F99" w:rsidRDefault="009075F9" w:rsidP="00595A8D">
            <w:pPr>
              <w:pStyle w:val="HSAGTableText"/>
              <w:numPr>
                <w:ilvl w:val="0"/>
                <w:numId w:val="19"/>
              </w:numPr>
              <w:contextualSpacing/>
            </w:pPr>
            <w:r w:rsidRPr="001408D5">
              <w:lastRenderedPageBreak/>
              <w:t>HSAG will also use the results of the Appeal File Review</w:t>
            </w:r>
          </w:p>
        </w:tc>
        <w:tc>
          <w:tcPr>
            <w:tcW w:w="1426" w:type="dxa"/>
            <w:vMerge w:val="restart"/>
            <w:shd w:val="clear" w:color="auto" w:fill="FFFFFF" w:themeFill="background1"/>
          </w:tcPr>
          <w:p w14:paraId="1F2BD9F8" w14:textId="77777777" w:rsidR="009075F9" w:rsidRPr="001408D5" w:rsidRDefault="009075F9" w:rsidP="009075F9">
            <w:pPr>
              <w:spacing w:before="60" w:after="0"/>
              <w:contextualSpacing/>
              <w:rPr>
                <w:sz w:val="22"/>
              </w:rPr>
            </w:pPr>
            <w:r w:rsidRPr="001408D5">
              <w:rPr>
                <w:rFonts w:ascii="MS Gothic" w:eastAsia="MS Gothic" w:hAnsi="MS Gothic" w:hint="eastAsia"/>
                <w:sz w:val="22"/>
              </w:rPr>
              <w:lastRenderedPageBreak/>
              <w:t>☐</w:t>
            </w:r>
            <w:r w:rsidRPr="001408D5">
              <w:rPr>
                <w:sz w:val="22"/>
              </w:rPr>
              <w:t xml:space="preserve"> Met</w:t>
            </w:r>
          </w:p>
          <w:p w14:paraId="7055C96C" w14:textId="77777777" w:rsidR="009075F9" w:rsidRPr="001408D5" w:rsidRDefault="00000000" w:rsidP="009075F9">
            <w:pPr>
              <w:spacing w:before="60" w:after="0"/>
              <w:contextualSpacing/>
              <w:rPr>
                <w:sz w:val="22"/>
              </w:rPr>
            </w:pPr>
            <w:sdt>
              <w:sdtPr>
                <w:rPr>
                  <w:rFonts w:ascii="MS Gothic" w:eastAsia="MS Gothic" w:hAnsi="MS Gothic" w:hint="eastAsia"/>
                  <w:sz w:val="22"/>
                </w:rPr>
                <w:id w:val="743218579"/>
                <w14:checkbox>
                  <w14:checked w14:val="1"/>
                  <w14:checkedState w14:val="2612" w14:font="MS Gothic"/>
                  <w14:uncheckedState w14:val="2610" w14:font="MS Gothic"/>
                </w14:checkbox>
              </w:sdtPr>
              <w:sdtContent>
                <w:r w:rsidR="009075F9" w:rsidRPr="001408D5">
                  <w:rPr>
                    <w:rFonts w:ascii="MS Gothic" w:eastAsia="MS Gothic" w:hAnsi="MS Gothic" w:hint="eastAsia"/>
                    <w:sz w:val="22"/>
                  </w:rPr>
                  <w:t>☒</w:t>
                </w:r>
              </w:sdtContent>
            </w:sdt>
            <w:r w:rsidR="009075F9" w:rsidRPr="001408D5">
              <w:rPr>
                <w:sz w:val="22"/>
              </w:rPr>
              <w:t xml:space="preserve"> Not Met</w:t>
            </w:r>
          </w:p>
          <w:p w14:paraId="261D1545" w14:textId="77777777" w:rsidR="009075F9" w:rsidRPr="001408D5" w:rsidRDefault="009075F9" w:rsidP="009075F9">
            <w:pPr>
              <w:spacing w:before="60" w:after="0"/>
              <w:contextualSpacing/>
              <w:rPr>
                <w:sz w:val="22"/>
              </w:rPr>
            </w:pPr>
            <w:r w:rsidRPr="001408D5">
              <w:rPr>
                <w:rFonts w:ascii="MS Gothic" w:eastAsia="MS Gothic" w:hAnsi="MS Gothic" w:hint="eastAsia"/>
                <w:sz w:val="22"/>
              </w:rPr>
              <w:t>☐</w:t>
            </w:r>
            <w:r w:rsidRPr="001408D5">
              <w:rPr>
                <w:sz w:val="22"/>
              </w:rPr>
              <w:t xml:space="preserve"> NA</w:t>
            </w:r>
          </w:p>
          <w:p w14:paraId="6EF7C418" w14:textId="77777777" w:rsidR="009075F9" w:rsidRPr="00903F99" w:rsidRDefault="009075F9" w:rsidP="009075F9">
            <w:pPr>
              <w:spacing w:before="0" w:after="0"/>
              <w:contextualSpacing/>
              <w:rPr>
                <w:sz w:val="22"/>
              </w:rPr>
            </w:pPr>
          </w:p>
        </w:tc>
      </w:tr>
      <w:tr w:rsidR="009075F9" w:rsidRPr="00903F99" w14:paraId="5E6CEAF9" w14:textId="77777777" w:rsidTr="00683305">
        <w:trPr>
          <w:trHeight w:val="374"/>
          <w:jc w:val="center"/>
        </w:trPr>
        <w:tc>
          <w:tcPr>
            <w:tcW w:w="6471" w:type="dxa"/>
            <w:gridSpan w:val="2"/>
            <w:vMerge/>
          </w:tcPr>
          <w:p w14:paraId="2FD06260" w14:textId="77777777" w:rsidR="009075F9" w:rsidRPr="00903F99" w:rsidRDefault="009075F9" w:rsidP="00595A8D">
            <w:pPr>
              <w:pStyle w:val="HSAGNumbers"/>
              <w:numPr>
                <w:ilvl w:val="0"/>
                <w:numId w:val="16"/>
              </w:numPr>
              <w:spacing w:before="0" w:after="0"/>
              <w:contextualSpacing/>
            </w:pPr>
          </w:p>
        </w:tc>
        <w:tc>
          <w:tcPr>
            <w:tcW w:w="6114" w:type="dxa"/>
            <w:gridSpan w:val="2"/>
            <w:shd w:val="clear" w:color="auto" w:fill="FFFFFF" w:themeFill="background1"/>
          </w:tcPr>
          <w:p w14:paraId="44C5B43C" w14:textId="77777777" w:rsidR="009075F9" w:rsidRPr="001408D5" w:rsidRDefault="009075F9" w:rsidP="009075F9">
            <w:pPr>
              <w:pStyle w:val="HSAGTableText"/>
              <w:contextualSpacing/>
              <w:rPr>
                <w:b/>
                <w:bCs/>
              </w:rPr>
            </w:pPr>
            <w:r w:rsidRPr="001408D5">
              <w:rPr>
                <w:b/>
                <w:bCs/>
              </w:rPr>
              <w:t>Evidence as Submitted by the PIHP:</w:t>
            </w:r>
          </w:p>
          <w:p w14:paraId="6FA0362A" w14:textId="77777777" w:rsidR="009075F9" w:rsidRPr="001408D5" w:rsidRDefault="009075F9" w:rsidP="00595A8D">
            <w:pPr>
              <w:pStyle w:val="HSAGTableText"/>
              <w:numPr>
                <w:ilvl w:val="0"/>
                <w:numId w:val="29"/>
              </w:numPr>
              <w:contextualSpacing/>
            </w:pPr>
            <w:r w:rsidRPr="001408D5">
              <w:t xml:space="preserve">S9_E15_System </w:t>
            </w:r>
            <w:proofErr w:type="spellStart"/>
            <w:r w:rsidRPr="001408D5">
              <w:t>Screenshots_type_denial</w:t>
            </w:r>
            <w:proofErr w:type="spellEnd"/>
            <w:r w:rsidRPr="001408D5">
              <w:t xml:space="preserve"> </w:t>
            </w:r>
            <w:proofErr w:type="spellStart"/>
            <w:r w:rsidRPr="001408D5">
              <w:t>ex_oral</w:t>
            </w:r>
            <w:proofErr w:type="spellEnd"/>
            <w:r w:rsidRPr="001408D5">
              <w:t xml:space="preserve"> notice</w:t>
            </w:r>
          </w:p>
          <w:p w14:paraId="704AD753" w14:textId="77777777" w:rsidR="009075F9" w:rsidRPr="001408D5" w:rsidRDefault="009075F9" w:rsidP="00595A8D">
            <w:pPr>
              <w:pStyle w:val="HSAGTableText"/>
              <w:numPr>
                <w:ilvl w:val="0"/>
                <w:numId w:val="29"/>
              </w:numPr>
              <w:contextualSpacing/>
            </w:pPr>
            <w:r w:rsidRPr="001408D5">
              <w:t xml:space="preserve">S9_E15a.Grievance and Appeals </w:t>
            </w:r>
            <w:proofErr w:type="spellStart"/>
            <w:r w:rsidRPr="001408D5">
              <w:t>Policy_standard</w:t>
            </w:r>
            <w:proofErr w:type="spellEnd"/>
            <w:r w:rsidRPr="001408D5">
              <w:t xml:space="preserve"> </w:t>
            </w:r>
            <w:proofErr w:type="spellStart"/>
            <w:r w:rsidRPr="001408D5">
              <w:t>timeframe_page</w:t>
            </w:r>
            <w:proofErr w:type="spellEnd"/>
            <w:r w:rsidRPr="001408D5">
              <w:t xml:space="preserve"> 5</w:t>
            </w:r>
          </w:p>
          <w:p w14:paraId="023384EA" w14:textId="77777777" w:rsidR="009075F9" w:rsidRPr="001408D5" w:rsidRDefault="009075F9" w:rsidP="00595A8D">
            <w:pPr>
              <w:pStyle w:val="HSAGTableText"/>
              <w:numPr>
                <w:ilvl w:val="0"/>
                <w:numId w:val="29"/>
              </w:numPr>
              <w:contextualSpacing/>
            </w:pPr>
            <w:r w:rsidRPr="001408D5">
              <w:t xml:space="preserve">S9_15a_Grievance and Appeals </w:t>
            </w:r>
            <w:proofErr w:type="spellStart"/>
            <w:r w:rsidRPr="001408D5">
              <w:t>Policy_page</w:t>
            </w:r>
            <w:proofErr w:type="spellEnd"/>
            <w:r w:rsidRPr="001408D5">
              <w:t xml:space="preserve"> 5</w:t>
            </w:r>
          </w:p>
          <w:p w14:paraId="0D7EBEEE" w14:textId="77777777" w:rsidR="009075F9" w:rsidRPr="001408D5" w:rsidRDefault="009075F9" w:rsidP="00595A8D">
            <w:pPr>
              <w:pStyle w:val="HSAGTableText"/>
              <w:numPr>
                <w:ilvl w:val="0"/>
                <w:numId w:val="29"/>
              </w:numPr>
              <w:contextualSpacing/>
            </w:pPr>
            <w:r w:rsidRPr="001408D5">
              <w:t xml:space="preserve">S9_E15b._Grievance and Appeals </w:t>
            </w:r>
            <w:proofErr w:type="spellStart"/>
            <w:r w:rsidRPr="001408D5">
              <w:t>Policy_disagree_page</w:t>
            </w:r>
            <w:proofErr w:type="spellEnd"/>
            <w:r w:rsidRPr="001408D5">
              <w:t xml:space="preserve"> 5</w:t>
            </w:r>
          </w:p>
          <w:p w14:paraId="32DDA14D" w14:textId="77777777" w:rsidR="009075F9" w:rsidRDefault="009075F9" w:rsidP="00595A8D">
            <w:pPr>
              <w:pStyle w:val="HSAGTableText"/>
              <w:numPr>
                <w:ilvl w:val="0"/>
                <w:numId w:val="29"/>
              </w:numPr>
              <w:contextualSpacing/>
            </w:pPr>
            <w:r w:rsidRPr="001408D5">
              <w:t>S9_E15b_Grievance and Appeals Policy page 3</w:t>
            </w:r>
          </w:p>
          <w:p w14:paraId="685ACC26" w14:textId="1A831C33" w:rsidR="009075F9" w:rsidRPr="00903F99" w:rsidRDefault="009075F9" w:rsidP="00595A8D">
            <w:pPr>
              <w:pStyle w:val="HSAGTableText"/>
              <w:numPr>
                <w:ilvl w:val="0"/>
                <w:numId w:val="29"/>
              </w:numPr>
              <w:contextualSpacing/>
            </w:pPr>
            <w:r w:rsidRPr="001408D5">
              <w:t>S9_E15b_Grievance and Appeals Policy page 4</w:t>
            </w:r>
          </w:p>
        </w:tc>
        <w:tc>
          <w:tcPr>
            <w:tcW w:w="1426" w:type="dxa"/>
            <w:vMerge/>
            <w:shd w:val="clear" w:color="auto" w:fill="FFFFFF" w:themeFill="background1"/>
          </w:tcPr>
          <w:p w14:paraId="7E56AE62" w14:textId="77777777" w:rsidR="009075F9" w:rsidRPr="00903F99" w:rsidRDefault="009075F9" w:rsidP="009075F9">
            <w:pPr>
              <w:spacing w:before="0" w:after="0"/>
              <w:contextualSpacing/>
              <w:rPr>
                <w:sz w:val="22"/>
              </w:rPr>
            </w:pPr>
          </w:p>
        </w:tc>
      </w:tr>
      <w:tr w:rsidR="009075F9" w:rsidRPr="00903F99" w14:paraId="12AA9C13" w14:textId="77777777" w:rsidTr="00683305">
        <w:trPr>
          <w:trHeight w:val="374"/>
          <w:jc w:val="center"/>
        </w:trPr>
        <w:tc>
          <w:tcPr>
            <w:tcW w:w="14011" w:type="dxa"/>
            <w:gridSpan w:val="5"/>
            <w:vAlign w:val="center"/>
          </w:tcPr>
          <w:p w14:paraId="137F3896" w14:textId="17111FC2" w:rsidR="009075F9" w:rsidRPr="00903F99" w:rsidRDefault="009075F9" w:rsidP="009075F9">
            <w:pPr>
              <w:pStyle w:val="HSAGTableText"/>
              <w:spacing w:before="0" w:after="0"/>
            </w:pPr>
            <w:r w:rsidRPr="001408D5">
              <w:rPr>
                <w:b/>
              </w:rPr>
              <w:t>PIHP Description of Process:</w:t>
            </w:r>
            <w:r w:rsidRPr="001408D5">
              <w:t xml:space="preserve"> When the PIHP denies the request for an expedited appeal, the appeal timeframe automatically transfers to the standard appeal timeframe of 30 days. The PIHP must make reasonable efforts to give the beneficiary prompt oral notice of the decision and follow up with written notice within 2 calendar days, also informing the beneficiary that they have the right to file a grievance if they disagree with the decision to deny expedited request. </w:t>
            </w:r>
          </w:p>
        </w:tc>
      </w:tr>
      <w:tr w:rsidR="009075F9" w:rsidRPr="0026679F" w14:paraId="41CBDA57" w14:textId="77777777" w:rsidTr="00683305">
        <w:trPr>
          <w:trHeight w:val="374"/>
          <w:jc w:val="center"/>
        </w:trPr>
        <w:tc>
          <w:tcPr>
            <w:tcW w:w="14011" w:type="dxa"/>
            <w:gridSpan w:val="5"/>
            <w:tcBorders>
              <w:bottom w:val="single" w:sz="4" w:space="0" w:color="000000"/>
            </w:tcBorders>
            <w:vAlign w:val="center"/>
          </w:tcPr>
          <w:p w14:paraId="06FC261A" w14:textId="77777777" w:rsidR="009075F9" w:rsidRPr="001408D5" w:rsidRDefault="009075F9" w:rsidP="009075F9">
            <w:pPr>
              <w:pStyle w:val="HSAGTableText"/>
              <w:rPr>
                <w:color w:val="auto"/>
              </w:rPr>
            </w:pPr>
            <w:r w:rsidRPr="001408D5">
              <w:rPr>
                <w:b/>
                <w:color w:val="auto"/>
              </w:rPr>
              <w:t>HSAG Findings:</w:t>
            </w:r>
            <w:r w:rsidRPr="001408D5">
              <w:rPr>
                <w:color w:val="auto"/>
              </w:rPr>
              <w:t xml:space="preserve"> While the PIHP confirmed that it had no denied requests for an expedited appeal resolution time frame during the </w:t>
            </w:r>
            <w:proofErr w:type="gramStart"/>
            <w:r w:rsidRPr="001408D5">
              <w:rPr>
                <w:color w:val="auto"/>
              </w:rPr>
              <w:t>time period</w:t>
            </w:r>
            <w:proofErr w:type="gramEnd"/>
            <w:r w:rsidRPr="001408D5">
              <w:rPr>
                <w:color w:val="auto"/>
              </w:rPr>
              <w:t xml:space="preserve"> of review, the PIHP did not initially provide a denied expedited appeal notice template as requested by HSAG. After the site review, the PIHP submitted a letter template; however, the document was created on May 28, 2025. Therefore, without further explanation from the PIHP, HSAG was unable to verify the template was effective during the </w:t>
            </w:r>
            <w:proofErr w:type="gramStart"/>
            <w:r w:rsidRPr="001408D5">
              <w:rPr>
                <w:color w:val="auto"/>
              </w:rPr>
              <w:t>time period</w:t>
            </w:r>
            <w:proofErr w:type="gramEnd"/>
            <w:r w:rsidRPr="001408D5">
              <w:rPr>
                <w:color w:val="auto"/>
              </w:rPr>
              <w:t xml:space="preserve"> of review. Further, the file name of the template included reference to “2025,” supporting that the template was not applicable to the review period. The template was also specific to one CMHSP; therefore, it is unclear whether the PIHP and the remaining CMHSPs have an appropriate notice for use. </w:t>
            </w:r>
          </w:p>
          <w:p w14:paraId="3632469E" w14:textId="124E7802" w:rsidR="009075F9" w:rsidRPr="0026679F" w:rsidRDefault="009075F9" w:rsidP="009075F9">
            <w:pPr>
              <w:pStyle w:val="HSAGTableText"/>
              <w:spacing w:before="0"/>
            </w:pPr>
            <w:r w:rsidRPr="001408D5">
              <w:rPr>
                <w:b/>
                <w:bCs/>
                <w:color w:val="auto"/>
              </w:rPr>
              <w:t>Recommendations:</w:t>
            </w:r>
            <w:r w:rsidRPr="001408D5">
              <w:rPr>
                <w:color w:val="auto"/>
              </w:rPr>
              <w:t xml:space="preserve"> The PIHP did not demonstrate having the system capability to report on denied requests for expedited appeal resolution time frames, as the only place to document this scenario was in a narrative note. HSAG recommends that the PIHP </w:t>
            </w:r>
            <w:proofErr w:type="gramStart"/>
            <w:r w:rsidRPr="001408D5">
              <w:rPr>
                <w:color w:val="auto"/>
              </w:rPr>
              <w:t>enhance</w:t>
            </w:r>
            <w:proofErr w:type="gramEnd"/>
            <w:r w:rsidRPr="001408D5">
              <w:rPr>
                <w:color w:val="auto"/>
              </w:rPr>
              <w:t xml:space="preserve"> its system to identify, track, and report on denied requests for expedited appeal resolutions including the date of oral and written notice of the denied request. </w:t>
            </w:r>
            <w:r w:rsidRPr="001408D5">
              <w:t xml:space="preserve">If the PIHP does not demonstrate adequate implementation of HSAG’s recommendations during future compliance reviews, the PIHP may receive a </w:t>
            </w:r>
            <w:r w:rsidRPr="001408D5">
              <w:rPr>
                <w:i/>
                <w:iCs/>
              </w:rPr>
              <w:t>Not Met</w:t>
            </w:r>
            <w:r w:rsidRPr="001408D5">
              <w:t xml:space="preserve"> score.</w:t>
            </w:r>
          </w:p>
        </w:tc>
      </w:tr>
      <w:tr w:rsidR="009075F9" w:rsidRPr="0026679F" w14:paraId="17CAA406" w14:textId="77777777" w:rsidTr="00683305">
        <w:trPr>
          <w:trHeight w:val="374"/>
          <w:jc w:val="center"/>
        </w:trPr>
        <w:tc>
          <w:tcPr>
            <w:tcW w:w="14011" w:type="dxa"/>
            <w:gridSpan w:val="5"/>
            <w:tcBorders>
              <w:top w:val="single" w:sz="4" w:space="0" w:color="000000"/>
              <w:bottom w:val="single" w:sz="4" w:space="0" w:color="auto"/>
            </w:tcBorders>
            <w:vAlign w:val="center"/>
          </w:tcPr>
          <w:p w14:paraId="44840543" w14:textId="675E9FEB" w:rsidR="009075F9" w:rsidRPr="0026679F" w:rsidRDefault="009075F9" w:rsidP="009075F9">
            <w:pPr>
              <w:pStyle w:val="HSAGTableText"/>
              <w:rPr>
                <w:b/>
              </w:rPr>
            </w:pPr>
            <w:r w:rsidRPr="001408D5">
              <w:rPr>
                <w:b/>
              </w:rPr>
              <w:t xml:space="preserve">Required Actions </w:t>
            </w:r>
            <w:r w:rsidRPr="001408D5">
              <w:t>If the PIHP denies a request for expedited resolution of an appeal, it must transfer the appeal to the time frame for standard resolution in accordance with 42 CFR §438.408(b)(2); make reasonable efforts to give the member prompt oral notice of the delay; and within two calendar days, give the member written notice of the reason for the decision to deny the expedited appeal resolution time frame and inform the member of the right to file a grievance if the member disagrees with that decision.</w:t>
            </w:r>
          </w:p>
        </w:tc>
      </w:tr>
      <w:tr w:rsidR="009075F9" w:rsidRPr="00D16F05" w14:paraId="1A150B08" w14:textId="77777777" w:rsidTr="00683305">
        <w:tblPrEx>
          <w:tblCellMar>
            <w:left w:w="108" w:type="dxa"/>
            <w:right w:w="108" w:type="dxa"/>
          </w:tblCellMar>
        </w:tblPrEx>
        <w:trPr>
          <w:gridBefore w:val="1"/>
          <w:wBefore w:w="7" w:type="dxa"/>
          <w:trHeight w:val="374"/>
          <w:jc w:val="center"/>
        </w:trPr>
        <w:tc>
          <w:tcPr>
            <w:tcW w:w="14004" w:type="dxa"/>
            <w:gridSpan w:val="4"/>
            <w:tcBorders>
              <w:top w:val="single" w:sz="4" w:space="0" w:color="auto"/>
              <w:bottom w:val="single" w:sz="4" w:space="0" w:color="000000" w:themeColor="text1"/>
            </w:tcBorders>
            <w:shd w:val="clear" w:color="auto" w:fill="F79548" w:themeFill="accent4"/>
          </w:tcPr>
          <w:p w14:paraId="540334FF" w14:textId="6A83A19E" w:rsidR="009075F9" w:rsidRPr="00D16F05" w:rsidRDefault="009075F9" w:rsidP="009075F9">
            <w:pPr>
              <w:pStyle w:val="HSAGTableText"/>
              <w:keepNext/>
              <w:contextualSpacing/>
              <w:rPr>
                <w:b/>
              </w:rPr>
            </w:pPr>
            <w:r>
              <w:rPr>
                <w:b/>
              </w:rPr>
              <w:lastRenderedPageBreak/>
              <w:t>PIHP Corrective Action Plan</w:t>
            </w:r>
          </w:p>
        </w:tc>
      </w:tr>
      <w:tr w:rsidR="009075F9" w:rsidRPr="00984D92" w14:paraId="3A9713C1" w14:textId="77777777" w:rsidTr="00683305">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3454F711" w14:textId="330C8DE0" w:rsidR="009075F9" w:rsidRPr="00984D92" w:rsidRDefault="009075F9" w:rsidP="009075F9">
            <w:pPr>
              <w:pStyle w:val="HSAGTableText"/>
              <w:contextualSpacing/>
              <w:rPr>
                <w:bCs/>
              </w:rPr>
            </w:pPr>
            <w:r>
              <w:rPr>
                <w:b/>
              </w:rPr>
              <w:t>Root Cause Analysis:</w:t>
            </w:r>
            <w:r w:rsidRPr="003F5489">
              <w:rPr>
                <w:bCs/>
              </w:rPr>
              <w:t xml:space="preserve"> </w:t>
            </w:r>
            <w:r>
              <w:rPr>
                <w:bCs/>
              </w:rPr>
              <w:t xml:space="preserve">The NMRE lacks capability to </w:t>
            </w:r>
            <w:proofErr w:type="gramStart"/>
            <w:r>
              <w:rPr>
                <w:bCs/>
              </w:rPr>
              <w:t>monitor</w:t>
            </w:r>
            <w:proofErr w:type="gramEnd"/>
            <w:r>
              <w:rPr>
                <w:bCs/>
              </w:rPr>
              <w:t xml:space="preserve"> and track denied requests for expedited appeals.</w:t>
            </w:r>
          </w:p>
        </w:tc>
      </w:tr>
      <w:tr w:rsidR="009075F9" w:rsidRPr="00FC2C0F" w14:paraId="612A365E" w14:textId="77777777" w:rsidTr="00683305">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50DD9F04" w14:textId="43A26236" w:rsidR="009075F9" w:rsidRPr="00FC2C0F" w:rsidRDefault="009075F9" w:rsidP="009075F9">
            <w:pPr>
              <w:pStyle w:val="HSAGTableText"/>
              <w:contextualSpacing/>
              <w:rPr>
                <w:bCs/>
              </w:rPr>
            </w:pPr>
            <w:r>
              <w:rPr>
                <w:b/>
              </w:rPr>
              <w:t>PIHP Remediation Plan</w:t>
            </w:r>
            <w:r w:rsidRPr="00B30934">
              <w:rPr>
                <w:b/>
              </w:rPr>
              <w:t>:</w:t>
            </w:r>
            <w:r>
              <w:rPr>
                <w:bCs/>
              </w:rPr>
              <w:t xml:space="preserve"> The NMRE is part of a state-wide PIHP workgroup working to develop updates to our Electronic Health Record (PCE). These updates include a place to identify an expedited request and the outcome of the request, followed by the steps taken after the decision. This enhancement to PCE will also allow a place to document the date of oral notice and written notice for request outcomes.</w:t>
            </w:r>
          </w:p>
        </w:tc>
      </w:tr>
      <w:tr w:rsidR="009075F9" w:rsidRPr="00FC2C0F" w14:paraId="3149F6A7" w14:textId="77777777" w:rsidTr="00683305">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2B748CCA" w14:textId="1A3B24EC" w:rsidR="009075F9" w:rsidRPr="00FC2C0F" w:rsidRDefault="009075F9" w:rsidP="009075F9">
            <w:pPr>
              <w:pStyle w:val="HSAGTableText"/>
              <w:contextualSpacing/>
              <w:rPr>
                <w:bCs/>
              </w:rPr>
            </w:pPr>
            <w:r w:rsidRPr="00B30934">
              <w:rPr>
                <w:b/>
              </w:rPr>
              <w:t>Responsible Individual(s):</w:t>
            </w:r>
            <w:r>
              <w:rPr>
                <w:bCs/>
              </w:rPr>
              <w:t xml:space="preserve"> Valerie McBain, NMRE PCE Lead, Brie Molaison, Compliance and Customer Services Officer</w:t>
            </w:r>
          </w:p>
        </w:tc>
      </w:tr>
      <w:tr w:rsidR="009075F9" w:rsidRPr="00FC2C0F" w14:paraId="6D23A64B" w14:textId="77777777" w:rsidTr="00683305">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auto"/>
            </w:tcBorders>
          </w:tcPr>
          <w:p w14:paraId="7D883344" w14:textId="5DE08D84" w:rsidR="009075F9" w:rsidRPr="00FC2C0F" w:rsidRDefault="009075F9" w:rsidP="009075F9">
            <w:pPr>
              <w:pStyle w:val="HSAGTableText"/>
              <w:contextualSpacing/>
              <w:rPr>
                <w:bCs/>
              </w:rPr>
            </w:pPr>
            <w:r w:rsidRPr="00B30934">
              <w:rPr>
                <w:b/>
              </w:rPr>
              <w:t>Timeline:</w:t>
            </w:r>
            <w:r>
              <w:rPr>
                <w:bCs/>
              </w:rPr>
              <w:t xml:space="preserve"> March 2026</w:t>
            </w:r>
          </w:p>
        </w:tc>
      </w:tr>
      <w:tr w:rsidR="009075F9" w14:paraId="17987BFA" w14:textId="77777777" w:rsidTr="00683305">
        <w:tblPrEx>
          <w:tblCellMar>
            <w:left w:w="108" w:type="dxa"/>
            <w:right w:w="108" w:type="dxa"/>
          </w:tblCellMar>
        </w:tblPrEx>
        <w:trPr>
          <w:gridBefore w:val="1"/>
          <w:wBefore w:w="7" w:type="dxa"/>
          <w:trHeight w:val="374"/>
          <w:jc w:val="center"/>
        </w:trPr>
        <w:tc>
          <w:tcPr>
            <w:tcW w:w="10425" w:type="dxa"/>
            <w:gridSpan w:val="2"/>
            <w:tcBorders>
              <w:top w:val="single" w:sz="4" w:space="0" w:color="auto"/>
              <w:bottom w:val="single" w:sz="18" w:space="0" w:color="00549E" w:themeColor="text2"/>
            </w:tcBorders>
            <w:shd w:val="clear" w:color="auto" w:fill="F2F2F2" w:themeFill="background1" w:themeFillShade="F2"/>
          </w:tcPr>
          <w:p w14:paraId="0BAF8F59" w14:textId="72196FD0" w:rsidR="009075F9" w:rsidRPr="00FC2C0F" w:rsidRDefault="009075F9" w:rsidP="009075F9">
            <w:pPr>
              <w:pStyle w:val="HSAGTableText"/>
              <w:contextualSpacing/>
              <w:rPr>
                <w:bCs/>
              </w:rPr>
            </w:pPr>
            <w:r>
              <w:rPr>
                <w:b/>
              </w:rPr>
              <w:t>MDHHS/HSAG Response:</w:t>
            </w:r>
            <w:r>
              <w:rPr>
                <w:bCs/>
              </w:rPr>
              <w:t xml:space="preserve"> </w:t>
            </w:r>
            <w:r w:rsidR="009A1528" w:rsidRPr="009A1528">
              <w:rPr>
                <w:bCs/>
              </w:rPr>
              <w:t>The PIHP’s remediation plan is sufficient to ensure compliance with the requirements for this program area. However, the PIHP must ensure that</w:t>
            </w:r>
            <w:r w:rsidR="0064133B">
              <w:rPr>
                <w:bCs/>
              </w:rPr>
              <w:t xml:space="preserve"> </w:t>
            </w:r>
            <w:r w:rsidR="00C76AB3">
              <w:rPr>
                <w:bCs/>
              </w:rPr>
              <w:t xml:space="preserve">a </w:t>
            </w:r>
            <w:r w:rsidR="0064133B">
              <w:rPr>
                <w:bCs/>
              </w:rPr>
              <w:t>denied expedited appeal</w:t>
            </w:r>
            <w:r w:rsidR="009A1528" w:rsidRPr="009A1528">
              <w:rPr>
                <w:bCs/>
              </w:rPr>
              <w:t xml:space="preserve"> </w:t>
            </w:r>
            <w:r w:rsidR="0064133B" w:rsidRPr="0064133B">
              <w:rPr>
                <w:bCs/>
              </w:rPr>
              <w:t xml:space="preserve">template </w:t>
            </w:r>
            <w:r w:rsidR="00C76AB3">
              <w:rPr>
                <w:bCs/>
              </w:rPr>
              <w:t>is implemented regionwid</w:t>
            </w:r>
            <w:r w:rsidR="009E2556">
              <w:rPr>
                <w:bCs/>
              </w:rPr>
              <w:t>e</w:t>
            </w:r>
            <w:r w:rsidR="009A1528" w:rsidRPr="009A1528">
              <w:rPr>
                <w:bCs/>
              </w:rPr>
              <w:t xml:space="preserve">. While no additional information is required to be submitted at this time, the PIHP must proceed with </w:t>
            </w:r>
            <w:proofErr w:type="gramStart"/>
            <w:r w:rsidR="009A1528" w:rsidRPr="009A1528">
              <w:rPr>
                <w:bCs/>
              </w:rPr>
              <w:t>timely</w:t>
            </w:r>
            <w:proofErr w:type="gramEnd"/>
            <w:r w:rsidR="009A1528" w:rsidRPr="009A1528">
              <w:rPr>
                <w:bCs/>
              </w:rPr>
              <w:t xml:space="preserve"> implementation of its action plans. Please note, an </w:t>
            </w:r>
            <w:r w:rsidR="009A1528" w:rsidRPr="009A1528">
              <w:rPr>
                <w:bCs/>
                <w:i/>
                <w:iCs/>
              </w:rPr>
              <w:t xml:space="preserve">Accepted </w:t>
            </w:r>
            <w:proofErr w:type="gramStart"/>
            <w:r w:rsidR="009A1528" w:rsidRPr="009A1528">
              <w:rPr>
                <w:bCs/>
                <w:i/>
                <w:iCs/>
              </w:rPr>
              <w:t>With</w:t>
            </w:r>
            <w:proofErr w:type="gramEnd"/>
            <w:r w:rsidR="009A1528" w:rsidRPr="009A1528">
              <w:rPr>
                <w:bCs/>
                <w:i/>
                <w:iCs/>
              </w:rPr>
              <w:t xml:space="preserve"> Recommendation</w:t>
            </w:r>
            <w:r w:rsidR="009A1528" w:rsidRPr="009A1528">
              <w:rPr>
                <w:bCs/>
              </w:rPr>
              <w:t xml:space="preserve"> designation is not a guarantee of future compliance. Implementation of the PIHP’s action plans and demonstration of compliance will be assessed during future compliance review activities.</w:t>
            </w:r>
          </w:p>
        </w:tc>
        <w:tc>
          <w:tcPr>
            <w:tcW w:w="3579" w:type="dxa"/>
            <w:gridSpan w:val="2"/>
            <w:tcBorders>
              <w:top w:val="single" w:sz="4" w:space="0" w:color="auto"/>
              <w:bottom w:val="single" w:sz="18" w:space="0" w:color="00549E" w:themeColor="text2"/>
            </w:tcBorders>
            <w:shd w:val="clear" w:color="auto" w:fill="F2F2F2" w:themeFill="background1" w:themeFillShade="F2"/>
          </w:tcPr>
          <w:p w14:paraId="7C0CE52B" w14:textId="6BBF3C79" w:rsidR="009075F9" w:rsidRPr="00C123EE" w:rsidRDefault="00000000" w:rsidP="009075F9">
            <w:pPr>
              <w:pStyle w:val="HSAGTableText"/>
              <w:contextualSpacing/>
              <w:rPr>
                <w:bCs/>
              </w:rPr>
            </w:pPr>
            <w:sdt>
              <w:sdtPr>
                <w:rPr>
                  <w:bCs/>
                </w:rPr>
                <w:id w:val="-1560479395"/>
                <w14:checkbox>
                  <w14:checked w14:val="0"/>
                  <w14:checkedState w14:val="2612" w14:font="MS Gothic"/>
                  <w14:uncheckedState w14:val="2610" w14:font="MS Gothic"/>
                </w14:checkbox>
              </w:sdtPr>
              <w:sdtContent>
                <w:r w:rsidR="0064133B">
                  <w:rPr>
                    <w:rFonts w:ascii="MS Gothic" w:eastAsia="MS Gothic" w:hAnsi="MS Gothic" w:hint="eastAsia"/>
                    <w:bCs/>
                  </w:rPr>
                  <w:t>☐</w:t>
                </w:r>
              </w:sdtContent>
            </w:sdt>
            <w:r w:rsidR="009075F9" w:rsidRPr="00C123EE">
              <w:rPr>
                <w:bCs/>
              </w:rPr>
              <w:t xml:space="preserve"> Accepted</w:t>
            </w:r>
          </w:p>
          <w:p w14:paraId="15C09B69" w14:textId="1BF5654A" w:rsidR="009075F9" w:rsidRPr="00C123EE" w:rsidRDefault="00000000" w:rsidP="009075F9">
            <w:pPr>
              <w:pStyle w:val="HSAGTableText"/>
              <w:contextualSpacing/>
              <w:rPr>
                <w:bCs/>
              </w:rPr>
            </w:pPr>
            <w:sdt>
              <w:sdtPr>
                <w:rPr>
                  <w:bCs/>
                </w:rPr>
                <w:id w:val="-821425396"/>
                <w14:checkbox>
                  <w14:checked w14:val="1"/>
                  <w14:checkedState w14:val="2612" w14:font="MS Gothic"/>
                  <w14:uncheckedState w14:val="2610" w14:font="MS Gothic"/>
                </w14:checkbox>
              </w:sdtPr>
              <w:sdtContent>
                <w:r w:rsidR="0064133B">
                  <w:rPr>
                    <w:rFonts w:ascii="MS Gothic" w:eastAsia="MS Gothic" w:hAnsi="MS Gothic" w:hint="eastAsia"/>
                    <w:bCs/>
                  </w:rPr>
                  <w:t>☒</w:t>
                </w:r>
              </w:sdtContent>
            </w:sdt>
            <w:r w:rsidR="009075F9" w:rsidRPr="00C123EE">
              <w:rPr>
                <w:bCs/>
              </w:rPr>
              <w:t xml:space="preserve"> Accepted </w:t>
            </w:r>
            <w:r w:rsidR="009075F9">
              <w:rPr>
                <w:bCs/>
              </w:rPr>
              <w:t>W</w:t>
            </w:r>
            <w:r w:rsidR="009075F9" w:rsidRPr="00C123EE">
              <w:rPr>
                <w:bCs/>
              </w:rPr>
              <w:t>ith Recommendations</w:t>
            </w:r>
          </w:p>
          <w:p w14:paraId="231C8148" w14:textId="1916B721" w:rsidR="009075F9" w:rsidRDefault="00000000" w:rsidP="009075F9">
            <w:pPr>
              <w:pStyle w:val="HSAGTableText"/>
              <w:contextualSpacing/>
              <w:rPr>
                <w:b/>
              </w:rPr>
            </w:pPr>
            <w:sdt>
              <w:sdtPr>
                <w:rPr>
                  <w:bCs/>
                </w:rPr>
                <w:id w:val="454692401"/>
                <w14:checkbox>
                  <w14:checked w14:val="0"/>
                  <w14:checkedState w14:val="2612" w14:font="MS Gothic"/>
                  <w14:uncheckedState w14:val="2610" w14:font="MS Gothic"/>
                </w14:checkbox>
              </w:sdtPr>
              <w:sdtContent>
                <w:r w:rsidR="009075F9" w:rsidRPr="00C123EE">
                  <w:rPr>
                    <w:rFonts w:ascii="MS Gothic" w:eastAsia="MS Gothic" w:hAnsi="MS Gothic" w:hint="eastAsia"/>
                    <w:bCs/>
                  </w:rPr>
                  <w:t>☐</w:t>
                </w:r>
              </w:sdtContent>
            </w:sdt>
            <w:r w:rsidR="009075F9" w:rsidRPr="00C123EE">
              <w:rPr>
                <w:bCs/>
              </w:rPr>
              <w:t xml:space="preserve"> Not Accepted</w:t>
            </w:r>
          </w:p>
        </w:tc>
      </w:tr>
      <w:tr w:rsidR="009075F9" w:rsidRPr="00903F99" w14:paraId="5FE7D4E9" w14:textId="77777777" w:rsidTr="00683305">
        <w:trPr>
          <w:trHeight w:val="374"/>
          <w:jc w:val="center"/>
        </w:trPr>
        <w:tc>
          <w:tcPr>
            <w:tcW w:w="6471" w:type="dxa"/>
            <w:gridSpan w:val="2"/>
            <w:vMerge w:val="restart"/>
          </w:tcPr>
          <w:p w14:paraId="770AC4C2" w14:textId="77777777" w:rsidR="009075F9" w:rsidRPr="001408D5" w:rsidRDefault="009075F9" w:rsidP="009075F9">
            <w:pPr>
              <w:pStyle w:val="ListNoNum"/>
              <w:keepNext/>
              <w:rPr>
                <w:iCs/>
                <w:sz w:val="18"/>
                <w:szCs w:val="18"/>
              </w:rPr>
            </w:pPr>
            <w:r w:rsidRPr="001408D5">
              <w:rPr>
                <w:spacing w:val="-4"/>
              </w:rPr>
              <w:t>16.</w:t>
            </w:r>
            <w:r w:rsidRPr="001408D5">
              <w:rPr>
                <w:spacing w:val="-4"/>
              </w:rPr>
              <w:tab/>
            </w:r>
            <w:r w:rsidRPr="001408D5">
              <w:t>The PIHP acknowledges receipt of each appeal.</w:t>
            </w:r>
          </w:p>
          <w:p w14:paraId="732B4D0C" w14:textId="77777777" w:rsidR="009075F9" w:rsidRPr="001408D5" w:rsidRDefault="009075F9" w:rsidP="009075F9">
            <w:pPr>
              <w:pStyle w:val="ListNoNum2"/>
              <w:keepNext/>
              <w:rPr>
                <w:i/>
                <w:iCs/>
              </w:rPr>
            </w:pPr>
            <w:r w:rsidRPr="001408D5">
              <w:t>a</w:t>
            </w:r>
            <w:proofErr w:type="gramStart"/>
            <w:r w:rsidRPr="001408D5">
              <w:t xml:space="preserve">. </w:t>
            </w:r>
            <w:r w:rsidRPr="001408D5">
              <w:tab/>
            </w:r>
            <w:r w:rsidRPr="001408D5">
              <w:rPr>
                <w:i/>
                <w:iCs/>
              </w:rPr>
              <w:t>Standard</w:t>
            </w:r>
            <w:proofErr w:type="gramEnd"/>
            <w:r w:rsidRPr="001408D5">
              <w:rPr>
                <w:i/>
                <w:iCs/>
              </w:rPr>
              <w:t xml:space="preserve"> appeals are acknowledged within 5 business days of receipt.</w:t>
            </w:r>
          </w:p>
          <w:p w14:paraId="5F37A7E3" w14:textId="77777777" w:rsidR="009075F9" w:rsidRPr="001408D5" w:rsidRDefault="009075F9" w:rsidP="009075F9">
            <w:pPr>
              <w:pStyle w:val="ListNoNum2"/>
              <w:rPr>
                <w:i/>
                <w:iCs/>
                <w:sz w:val="18"/>
                <w:szCs w:val="18"/>
              </w:rPr>
            </w:pPr>
            <w:r w:rsidRPr="001408D5">
              <w:t>b</w:t>
            </w:r>
            <w:proofErr w:type="gramStart"/>
            <w:r w:rsidRPr="001408D5">
              <w:t xml:space="preserve">. </w:t>
            </w:r>
            <w:r w:rsidRPr="001408D5">
              <w:tab/>
            </w:r>
            <w:r w:rsidRPr="001408D5">
              <w:rPr>
                <w:i/>
                <w:iCs/>
              </w:rPr>
              <w:t>Expedited</w:t>
            </w:r>
            <w:proofErr w:type="gramEnd"/>
            <w:r w:rsidRPr="001408D5">
              <w:rPr>
                <w:i/>
                <w:iCs/>
              </w:rPr>
              <w:t xml:space="preserve"> appeals are acknowledged within 72 hours of receipt. </w:t>
            </w:r>
          </w:p>
          <w:p w14:paraId="7530AA45" w14:textId="77777777" w:rsidR="009075F9" w:rsidRPr="001408D5" w:rsidRDefault="009075F9" w:rsidP="009075F9">
            <w:pPr>
              <w:pStyle w:val="HSAGTableContracttext"/>
            </w:pPr>
          </w:p>
          <w:p w14:paraId="67010E1A" w14:textId="77777777" w:rsidR="009075F9" w:rsidRPr="001408D5" w:rsidRDefault="009075F9" w:rsidP="009075F9">
            <w:pPr>
              <w:pStyle w:val="HSAGTableContracttext"/>
              <w:rPr>
                <w:i/>
              </w:rPr>
            </w:pPr>
            <w:r w:rsidRPr="001408D5">
              <w:t>42 CFR §438.228</w:t>
            </w:r>
          </w:p>
          <w:p w14:paraId="2E86F129" w14:textId="77777777" w:rsidR="009075F9" w:rsidRPr="001408D5" w:rsidRDefault="009075F9" w:rsidP="009075F9">
            <w:pPr>
              <w:pStyle w:val="HSAGTableContracttext"/>
              <w:rPr>
                <w:i/>
              </w:rPr>
            </w:pPr>
            <w:r w:rsidRPr="001408D5">
              <w:t>42 CFR §438.406(b)(1)</w:t>
            </w:r>
          </w:p>
          <w:p w14:paraId="09DE7316" w14:textId="77777777" w:rsidR="009075F9" w:rsidRPr="001408D5" w:rsidRDefault="009075F9" w:rsidP="009075F9">
            <w:pPr>
              <w:pStyle w:val="HSAGTableContracttext"/>
              <w:rPr>
                <w:i/>
              </w:rPr>
            </w:pPr>
            <w:r w:rsidRPr="001408D5">
              <w:t>42 CFR §457.1260(d)</w:t>
            </w:r>
          </w:p>
          <w:p w14:paraId="35F1C785" w14:textId="77777777" w:rsidR="009075F9" w:rsidRPr="001408D5" w:rsidRDefault="009075F9" w:rsidP="009075F9">
            <w:pPr>
              <w:pStyle w:val="HSAGTableContracttext"/>
              <w:rPr>
                <w:i/>
              </w:rPr>
            </w:pPr>
            <w:r w:rsidRPr="001408D5">
              <w:t xml:space="preserve">Contract Schedule A—1(M)(2)(e) </w:t>
            </w:r>
          </w:p>
          <w:p w14:paraId="4EE867B7" w14:textId="177FF975" w:rsidR="009075F9" w:rsidRPr="00903F99" w:rsidRDefault="009075F9" w:rsidP="009075F9">
            <w:pPr>
              <w:pStyle w:val="HSAGTableContracttext"/>
              <w:keepNext/>
              <w:spacing w:before="0" w:after="0"/>
              <w:ind w:left="1440"/>
              <w:contextualSpacing/>
              <w:rPr>
                <w:i/>
                <w:szCs w:val="18"/>
              </w:rPr>
            </w:pPr>
            <w:r w:rsidRPr="001408D5">
              <w:t>Appeal and Grievance Resolution Processes Technical Requirement—VII(B)(2)</w:t>
            </w:r>
          </w:p>
        </w:tc>
        <w:tc>
          <w:tcPr>
            <w:tcW w:w="6114" w:type="dxa"/>
            <w:gridSpan w:val="2"/>
            <w:shd w:val="clear" w:color="auto" w:fill="FFFFFF" w:themeFill="background1"/>
          </w:tcPr>
          <w:p w14:paraId="2391C390" w14:textId="77777777" w:rsidR="009075F9" w:rsidRPr="001408D5" w:rsidRDefault="009075F9" w:rsidP="009075F9">
            <w:pPr>
              <w:pStyle w:val="HSAGTableText"/>
              <w:contextualSpacing/>
              <w:rPr>
                <w:b/>
                <w:bCs/>
              </w:rPr>
            </w:pPr>
            <w:r w:rsidRPr="001408D5">
              <w:rPr>
                <w:b/>
                <w:bCs/>
              </w:rPr>
              <w:t>HSAG Required Evidence:</w:t>
            </w:r>
          </w:p>
          <w:p w14:paraId="2A083EC9" w14:textId="77777777" w:rsidR="009075F9" w:rsidRPr="001408D5" w:rsidRDefault="009075F9" w:rsidP="00595A8D">
            <w:pPr>
              <w:pStyle w:val="HSAGTableText"/>
              <w:numPr>
                <w:ilvl w:val="0"/>
                <w:numId w:val="19"/>
              </w:numPr>
              <w:contextualSpacing/>
            </w:pPr>
            <w:r w:rsidRPr="001408D5">
              <w:t>Policies and procedures</w:t>
            </w:r>
          </w:p>
          <w:p w14:paraId="195D65D6" w14:textId="77777777" w:rsidR="009075F9" w:rsidRPr="001408D5" w:rsidRDefault="009075F9" w:rsidP="00595A8D">
            <w:pPr>
              <w:pStyle w:val="HSAGTableText"/>
              <w:numPr>
                <w:ilvl w:val="0"/>
                <w:numId w:val="19"/>
              </w:numPr>
              <w:contextualSpacing/>
            </w:pPr>
            <w:r w:rsidRPr="001408D5">
              <w:t>Appeal acknowledgment template</w:t>
            </w:r>
          </w:p>
          <w:p w14:paraId="2F187ACA" w14:textId="77777777" w:rsidR="009075F9" w:rsidRPr="001408D5" w:rsidRDefault="009075F9" w:rsidP="00595A8D">
            <w:pPr>
              <w:pStyle w:val="HSAGTableText"/>
              <w:numPr>
                <w:ilvl w:val="0"/>
                <w:numId w:val="19"/>
              </w:numPr>
              <w:contextualSpacing/>
            </w:pPr>
            <w:r w:rsidRPr="001408D5">
              <w:t>Tracking and reporting mechanisms</w:t>
            </w:r>
          </w:p>
          <w:p w14:paraId="592B6C20" w14:textId="77777777" w:rsidR="009075F9" w:rsidRPr="001408D5" w:rsidRDefault="009075F9" w:rsidP="00595A8D">
            <w:pPr>
              <w:pStyle w:val="HSAGTableText"/>
              <w:numPr>
                <w:ilvl w:val="0"/>
                <w:numId w:val="19"/>
              </w:numPr>
              <w:contextualSpacing/>
            </w:pPr>
            <w:r w:rsidRPr="001408D5">
              <w:t>System screenshot of the field where the date of receipt of the appeal is documented</w:t>
            </w:r>
          </w:p>
          <w:p w14:paraId="71DFF22C" w14:textId="77777777" w:rsidR="009075F9" w:rsidRPr="00607642" w:rsidRDefault="009075F9" w:rsidP="00595A8D">
            <w:pPr>
              <w:pStyle w:val="HSAGTableText"/>
              <w:numPr>
                <w:ilvl w:val="0"/>
                <w:numId w:val="19"/>
              </w:numPr>
              <w:contextualSpacing/>
            </w:pPr>
            <w:r w:rsidRPr="00607642">
              <w:t>System screenshot of the field where the date of oral/written acknowledgement and the acknowledgement notice/call notes are documented</w:t>
            </w:r>
          </w:p>
          <w:p w14:paraId="119CA160" w14:textId="77777777" w:rsidR="009075F9" w:rsidRPr="00683305" w:rsidRDefault="009075F9" w:rsidP="00595A8D">
            <w:pPr>
              <w:pStyle w:val="ListParagraph"/>
              <w:numPr>
                <w:ilvl w:val="0"/>
                <w:numId w:val="19"/>
              </w:numPr>
              <w:rPr>
                <w:rFonts w:eastAsiaTheme="minorHAnsi"/>
                <w:color w:val="000000" w:themeColor="text1"/>
                <w:sz w:val="22"/>
                <w:szCs w:val="20"/>
              </w:rPr>
            </w:pPr>
            <w:r w:rsidRPr="00683305">
              <w:rPr>
                <w:rFonts w:eastAsiaTheme="minorHAnsi"/>
                <w:color w:val="000000" w:themeColor="text1"/>
                <w:sz w:val="22"/>
                <w:szCs w:val="20"/>
              </w:rPr>
              <w:t xml:space="preserve">Report </w:t>
            </w:r>
            <w:proofErr w:type="gramStart"/>
            <w:r w:rsidRPr="00683305">
              <w:rPr>
                <w:rFonts w:eastAsiaTheme="minorHAnsi"/>
                <w:color w:val="000000" w:themeColor="text1"/>
                <w:sz w:val="22"/>
                <w:szCs w:val="20"/>
              </w:rPr>
              <w:t>of</w:t>
            </w:r>
            <w:proofErr w:type="gramEnd"/>
            <w:r w:rsidRPr="00683305">
              <w:rPr>
                <w:rFonts w:eastAsiaTheme="minorHAnsi"/>
                <w:color w:val="000000" w:themeColor="text1"/>
                <w:sz w:val="22"/>
                <w:szCs w:val="20"/>
              </w:rPr>
              <w:t xml:space="preserve"> all appeals during the review period, including the date of receipt of the appeal and the date of acknowledgement</w:t>
            </w:r>
          </w:p>
          <w:p w14:paraId="44DFB0DF" w14:textId="31FEA8C0" w:rsidR="009075F9" w:rsidRPr="00904F35" w:rsidRDefault="009075F9" w:rsidP="00595A8D">
            <w:pPr>
              <w:pStyle w:val="ListParagraph"/>
              <w:numPr>
                <w:ilvl w:val="0"/>
                <w:numId w:val="19"/>
              </w:numPr>
              <w:rPr>
                <w:color w:val="000000" w:themeColor="text1"/>
                <w:szCs w:val="20"/>
              </w:rPr>
            </w:pPr>
            <w:r w:rsidRPr="00683305">
              <w:rPr>
                <w:rFonts w:eastAsiaTheme="minorHAnsi"/>
                <w:color w:val="000000" w:themeColor="text1"/>
                <w:sz w:val="22"/>
                <w:szCs w:val="20"/>
              </w:rPr>
              <w:t>HSAG will also use the results of the Appeal File Review</w:t>
            </w:r>
          </w:p>
        </w:tc>
        <w:tc>
          <w:tcPr>
            <w:tcW w:w="1426" w:type="dxa"/>
            <w:vMerge w:val="restart"/>
            <w:shd w:val="clear" w:color="auto" w:fill="FFFFFF" w:themeFill="background1"/>
          </w:tcPr>
          <w:p w14:paraId="40435803" w14:textId="77777777" w:rsidR="009075F9" w:rsidRPr="001408D5" w:rsidRDefault="009075F9" w:rsidP="009075F9">
            <w:pPr>
              <w:spacing w:before="60" w:after="0"/>
              <w:contextualSpacing/>
              <w:rPr>
                <w:sz w:val="22"/>
              </w:rPr>
            </w:pPr>
            <w:r w:rsidRPr="001408D5">
              <w:rPr>
                <w:rFonts w:ascii="MS Gothic" w:eastAsia="MS Gothic" w:hAnsi="MS Gothic" w:hint="eastAsia"/>
                <w:sz w:val="22"/>
              </w:rPr>
              <w:t>☐</w:t>
            </w:r>
            <w:r w:rsidRPr="001408D5">
              <w:rPr>
                <w:sz w:val="22"/>
              </w:rPr>
              <w:t xml:space="preserve"> Met</w:t>
            </w:r>
          </w:p>
          <w:p w14:paraId="72944706" w14:textId="77777777" w:rsidR="009075F9" w:rsidRPr="001408D5" w:rsidRDefault="00000000" w:rsidP="009075F9">
            <w:pPr>
              <w:spacing w:before="60" w:after="0"/>
              <w:contextualSpacing/>
              <w:rPr>
                <w:sz w:val="22"/>
              </w:rPr>
            </w:pPr>
            <w:sdt>
              <w:sdtPr>
                <w:rPr>
                  <w:rFonts w:ascii="MS Gothic" w:eastAsia="MS Gothic" w:hAnsi="MS Gothic" w:hint="eastAsia"/>
                  <w:sz w:val="22"/>
                </w:rPr>
                <w:id w:val="-1101026570"/>
                <w14:checkbox>
                  <w14:checked w14:val="1"/>
                  <w14:checkedState w14:val="2612" w14:font="MS Gothic"/>
                  <w14:uncheckedState w14:val="2610" w14:font="MS Gothic"/>
                </w14:checkbox>
              </w:sdtPr>
              <w:sdtContent>
                <w:r w:rsidR="009075F9" w:rsidRPr="001408D5">
                  <w:rPr>
                    <w:rFonts w:ascii="MS Gothic" w:eastAsia="MS Gothic" w:hAnsi="MS Gothic" w:hint="eastAsia"/>
                    <w:sz w:val="22"/>
                  </w:rPr>
                  <w:t>☒</w:t>
                </w:r>
              </w:sdtContent>
            </w:sdt>
            <w:r w:rsidR="009075F9" w:rsidRPr="001408D5">
              <w:rPr>
                <w:sz w:val="22"/>
              </w:rPr>
              <w:t xml:space="preserve"> Not Met</w:t>
            </w:r>
          </w:p>
          <w:p w14:paraId="3D75AC83" w14:textId="77777777" w:rsidR="009075F9" w:rsidRPr="001408D5" w:rsidRDefault="009075F9" w:rsidP="009075F9">
            <w:pPr>
              <w:spacing w:before="60" w:after="0"/>
              <w:contextualSpacing/>
              <w:rPr>
                <w:sz w:val="22"/>
              </w:rPr>
            </w:pPr>
            <w:r w:rsidRPr="001408D5">
              <w:rPr>
                <w:rFonts w:ascii="MS Gothic" w:eastAsia="MS Gothic" w:hAnsi="MS Gothic" w:hint="eastAsia"/>
                <w:sz w:val="22"/>
              </w:rPr>
              <w:t>☐</w:t>
            </w:r>
            <w:r w:rsidRPr="001408D5">
              <w:rPr>
                <w:sz w:val="22"/>
              </w:rPr>
              <w:t xml:space="preserve"> NA</w:t>
            </w:r>
          </w:p>
          <w:p w14:paraId="5491293C" w14:textId="77777777" w:rsidR="009075F9" w:rsidRPr="00903F99" w:rsidRDefault="009075F9" w:rsidP="009075F9">
            <w:pPr>
              <w:spacing w:before="0" w:after="0"/>
              <w:contextualSpacing/>
              <w:rPr>
                <w:sz w:val="22"/>
              </w:rPr>
            </w:pPr>
          </w:p>
        </w:tc>
      </w:tr>
      <w:tr w:rsidR="009075F9" w:rsidRPr="00903F99" w14:paraId="3ADB7854" w14:textId="77777777" w:rsidTr="00683305">
        <w:trPr>
          <w:trHeight w:val="374"/>
          <w:jc w:val="center"/>
        </w:trPr>
        <w:tc>
          <w:tcPr>
            <w:tcW w:w="6471" w:type="dxa"/>
            <w:gridSpan w:val="2"/>
            <w:vMerge/>
          </w:tcPr>
          <w:p w14:paraId="5BDFE0FC" w14:textId="77777777" w:rsidR="009075F9" w:rsidRPr="00903F99" w:rsidRDefault="009075F9" w:rsidP="00595A8D">
            <w:pPr>
              <w:pStyle w:val="HSAGNumbers"/>
              <w:numPr>
                <w:ilvl w:val="0"/>
                <w:numId w:val="16"/>
              </w:numPr>
              <w:spacing w:before="0" w:after="0"/>
              <w:contextualSpacing/>
            </w:pPr>
          </w:p>
        </w:tc>
        <w:tc>
          <w:tcPr>
            <w:tcW w:w="6114" w:type="dxa"/>
            <w:gridSpan w:val="2"/>
            <w:shd w:val="clear" w:color="auto" w:fill="FFFFFF" w:themeFill="background1"/>
          </w:tcPr>
          <w:p w14:paraId="6667F6D4" w14:textId="77777777" w:rsidR="009075F9" w:rsidRPr="001408D5" w:rsidRDefault="009075F9" w:rsidP="009075F9">
            <w:pPr>
              <w:pStyle w:val="HSAGTableText"/>
              <w:contextualSpacing/>
              <w:rPr>
                <w:b/>
                <w:bCs/>
              </w:rPr>
            </w:pPr>
            <w:r w:rsidRPr="001408D5">
              <w:rPr>
                <w:b/>
                <w:bCs/>
              </w:rPr>
              <w:t>Evidence as Submitted by the PIHP:</w:t>
            </w:r>
          </w:p>
          <w:p w14:paraId="3D7509AB" w14:textId="77777777" w:rsidR="009075F9" w:rsidRPr="001408D5" w:rsidRDefault="009075F9" w:rsidP="00595A8D">
            <w:pPr>
              <w:pStyle w:val="HSAGTableText"/>
              <w:numPr>
                <w:ilvl w:val="0"/>
                <w:numId w:val="30"/>
              </w:numPr>
              <w:contextualSpacing/>
            </w:pPr>
            <w:r w:rsidRPr="001408D5">
              <w:lastRenderedPageBreak/>
              <w:t>S9_E13_E16_E21_E22_E23_E25_Appeal Tracking and Reporting</w:t>
            </w:r>
          </w:p>
          <w:p w14:paraId="4E00B91D" w14:textId="77777777" w:rsidR="009075F9" w:rsidRPr="001408D5" w:rsidRDefault="009075F9" w:rsidP="00595A8D">
            <w:pPr>
              <w:pStyle w:val="HSAGTableText"/>
              <w:numPr>
                <w:ilvl w:val="0"/>
                <w:numId w:val="30"/>
              </w:numPr>
              <w:contextualSpacing/>
            </w:pPr>
            <w:r w:rsidRPr="001408D5">
              <w:t>S9_E16_Appeal Acknowledgement Template</w:t>
            </w:r>
          </w:p>
          <w:p w14:paraId="0CCA7F21" w14:textId="77777777" w:rsidR="009075F9" w:rsidRPr="001408D5" w:rsidRDefault="009075F9" w:rsidP="00595A8D">
            <w:pPr>
              <w:pStyle w:val="HSAGTableText"/>
              <w:numPr>
                <w:ilvl w:val="0"/>
                <w:numId w:val="30"/>
              </w:numPr>
              <w:contextualSpacing/>
            </w:pPr>
            <w:r w:rsidRPr="001408D5">
              <w:t>S9_E16_Screenshot Receipt and Oral Notice</w:t>
            </w:r>
          </w:p>
          <w:p w14:paraId="4F7BD68D" w14:textId="77777777" w:rsidR="009075F9" w:rsidRPr="001408D5" w:rsidRDefault="009075F9" w:rsidP="00595A8D">
            <w:pPr>
              <w:pStyle w:val="HSAGTableText"/>
              <w:numPr>
                <w:ilvl w:val="0"/>
                <w:numId w:val="30"/>
              </w:numPr>
              <w:contextualSpacing/>
            </w:pPr>
            <w:r w:rsidRPr="001408D5">
              <w:t>S9_E16_Screenshot Receipt</w:t>
            </w:r>
          </w:p>
          <w:p w14:paraId="48F5B037" w14:textId="77777777" w:rsidR="009075F9" w:rsidRDefault="009075F9" w:rsidP="00595A8D">
            <w:pPr>
              <w:pStyle w:val="HSAGTableText"/>
              <w:numPr>
                <w:ilvl w:val="0"/>
                <w:numId w:val="30"/>
              </w:numPr>
              <w:contextualSpacing/>
            </w:pPr>
            <w:r w:rsidRPr="001408D5">
              <w:t xml:space="preserve">S9_E16a_Grievance and Appeals </w:t>
            </w:r>
            <w:proofErr w:type="spellStart"/>
            <w:r w:rsidRPr="001408D5">
              <w:t>procedure_page</w:t>
            </w:r>
            <w:proofErr w:type="spellEnd"/>
            <w:r w:rsidRPr="001408D5">
              <w:t xml:space="preserve"> 2</w:t>
            </w:r>
          </w:p>
          <w:p w14:paraId="36C7046E" w14:textId="037F6295" w:rsidR="009075F9" w:rsidRPr="00903F99" w:rsidRDefault="009075F9" w:rsidP="00595A8D">
            <w:pPr>
              <w:pStyle w:val="HSAGTableText"/>
              <w:numPr>
                <w:ilvl w:val="0"/>
                <w:numId w:val="30"/>
              </w:numPr>
              <w:contextualSpacing/>
            </w:pPr>
            <w:r w:rsidRPr="001408D5">
              <w:t xml:space="preserve">S9_E16b. Beneficiary Grievance and Appeals </w:t>
            </w:r>
            <w:proofErr w:type="spellStart"/>
            <w:r w:rsidRPr="001408D5">
              <w:t>Procedure_page</w:t>
            </w:r>
            <w:proofErr w:type="spellEnd"/>
            <w:r w:rsidRPr="001408D5">
              <w:t xml:space="preserve"> 3</w:t>
            </w:r>
          </w:p>
        </w:tc>
        <w:tc>
          <w:tcPr>
            <w:tcW w:w="1426" w:type="dxa"/>
            <w:vMerge/>
            <w:shd w:val="clear" w:color="auto" w:fill="FFFFFF" w:themeFill="background1"/>
          </w:tcPr>
          <w:p w14:paraId="0C01C47C" w14:textId="77777777" w:rsidR="009075F9" w:rsidRPr="00903F99" w:rsidRDefault="009075F9" w:rsidP="009075F9">
            <w:pPr>
              <w:spacing w:before="0" w:after="0"/>
              <w:contextualSpacing/>
              <w:rPr>
                <w:sz w:val="22"/>
              </w:rPr>
            </w:pPr>
          </w:p>
        </w:tc>
      </w:tr>
      <w:tr w:rsidR="009075F9" w:rsidRPr="00903F99" w14:paraId="7DAB1634" w14:textId="77777777" w:rsidTr="00683305">
        <w:trPr>
          <w:trHeight w:val="374"/>
          <w:jc w:val="center"/>
        </w:trPr>
        <w:tc>
          <w:tcPr>
            <w:tcW w:w="14011" w:type="dxa"/>
            <w:gridSpan w:val="5"/>
            <w:vAlign w:val="center"/>
          </w:tcPr>
          <w:p w14:paraId="10A3F999" w14:textId="5255040B" w:rsidR="009075F9" w:rsidRPr="00903F99" w:rsidRDefault="009075F9" w:rsidP="009075F9">
            <w:pPr>
              <w:pStyle w:val="HSAGTableText"/>
              <w:spacing w:before="0" w:after="0"/>
            </w:pPr>
            <w:r w:rsidRPr="001408D5">
              <w:rPr>
                <w:b/>
              </w:rPr>
              <w:t>PIHP Description of Process:</w:t>
            </w:r>
            <w:r w:rsidRPr="001408D5">
              <w:t xml:space="preserve"> The PIHP acknowledges the receipt of each appeal within 5 business days for standard appeal and 72 hours for an expedited appeal. </w:t>
            </w:r>
          </w:p>
        </w:tc>
      </w:tr>
      <w:tr w:rsidR="009075F9" w:rsidRPr="0026679F" w14:paraId="6D2FC56E" w14:textId="77777777" w:rsidTr="00683305">
        <w:trPr>
          <w:trHeight w:val="374"/>
          <w:jc w:val="center"/>
        </w:trPr>
        <w:tc>
          <w:tcPr>
            <w:tcW w:w="14011" w:type="dxa"/>
            <w:gridSpan w:val="5"/>
            <w:tcBorders>
              <w:bottom w:val="single" w:sz="4" w:space="0" w:color="000000"/>
            </w:tcBorders>
            <w:vAlign w:val="center"/>
          </w:tcPr>
          <w:p w14:paraId="2289023A" w14:textId="77777777" w:rsidR="009075F9" w:rsidRPr="001408D5" w:rsidRDefault="009075F9" w:rsidP="009075F9">
            <w:pPr>
              <w:pStyle w:val="HSAGTableText"/>
            </w:pPr>
            <w:r w:rsidRPr="001408D5">
              <w:rPr>
                <w:b/>
              </w:rPr>
              <w:t>HSAG Findings:</w:t>
            </w:r>
            <w:r w:rsidRPr="001408D5">
              <w:t xml:space="preserve"> </w:t>
            </w:r>
            <w:r w:rsidRPr="001408D5">
              <w:rPr>
                <w:color w:val="auto"/>
              </w:rPr>
              <w:t xml:space="preserve">The PIHP did not initially submit a report of all appeals during the review period, including the date of receipt of the appeal and the date of acknowledgement as requested by HSAG. After the site review, the PIHP submitted a report of all appeals for two CMHSPs. However, HSAG was unable to locate the acknowledgement date on one CMHSP report. The second CMHSP report included an “Appeal Notice Date” which HSAG assumed was the acknowledgement date. While most appeals listed on the report were acknowledged timely, one case had no acknowledgement </w:t>
            </w:r>
            <w:proofErr w:type="gramStart"/>
            <w:r w:rsidRPr="001408D5">
              <w:rPr>
                <w:color w:val="auto"/>
              </w:rPr>
              <w:t>date</w:t>
            </w:r>
            <w:proofErr w:type="gramEnd"/>
            <w:r w:rsidRPr="001408D5">
              <w:rPr>
                <w:color w:val="auto"/>
              </w:rPr>
              <w:t xml:space="preserve"> and one appeal had an acknowledgement date 75 days after receipt of the appeal. Additionally, a report for the remaining CMHSPs was not provided. Further, while one report was provided which could be used to monitor timely acknowledgements, it is unclear whether the PIHP is actively monitoring adherence to acknowledgement time frames (e.g., monitoring reports of acknowledgement time frames, case file reviews). The PIHP should also review reports for data anomalies like those identified in the CMHSP report. Further, while the PIHP included the five-business day acknowledgement time frame for standard appeals, it did not include the 72-hour acknowledgement time frame for expedited appeals.</w:t>
            </w:r>
            <w:r w:rsidRPr="001408D5">
              <w:t xml:space="preserve"> Of note, the MDHHS model notice effective during the </w:t>
            </w:r>
            <w:proofErr w:type="gramStart"/>
            <w:r w:rsidRPr="001408D5">
              <w:t>time period</w:t>
            </w:r>
            <w:proofErr w:type="gramEnd"/>
            <w:r w:rsidRPr="001408D5">
              <w:t xml:space="preserve"> of review for the case files included incorrect information regarding requesting a State fair hearing (SFH) and continuation of benefits. MDHHS’ </w:t>
            </w:r>
            <w:proofErr w:type="gramStart"/>
            <w:r w:rsidRPr="001408D5">
              <w:t>model</w:t>
            </w:r>
            <w:proofErr w:type="gramEnd"/>
            <w:r w:rsidRPr="001408D5">
              <w:t xml:space="preserve"> notice effective October 1, 2024, has been updated and remediates this finding.</w:t>
            </w:r>
          </w:p>
          <w:p w14:paraId="277FCEDD" w14:textId="7D271D0B" w:rsidR="009075F9" w:rsidRPr="0026679F" w:rsidRDefault="009075F9" w:rsidP="009075F9">
            <w:pPr>
              <w:pStyle w:val="HSAGTableText"/>
              <w:spacing w:before="0"/>
            </w:pPr>
            <w:r w:rsidRPr="001408D5">
              <w:rPr>
                <w:b/>
                <w:bCs/>
                <w:color w:val="auto"/>
              </w:rPr>
              <w:t>Recommendations:</w:t>
            </w:r>
            <w:r w:rsidRPr="001408D5">
              <w:rPr>
                <w:color w:val="auto"/>
              </w:rPr>
              <w:t xml:space="preserve"> HSAG recommends that the PIHP implement mechanisms to monitor adherence to timely acknowledgements by reviewing periodic reports on acknowledgement TATs. Additionally, HSAG recommends that the PIHP update policy to include the 72-hour acknowledgement TAT for expedited appeals and clarify in policy its process for acknowledging expedited appeals within 72 hours (i.e., whether a separate acknowledgement notice is required or whether the resolution notice serves as both the acknowledgement notice and resolution notice since both must be issued within 72 hours).</w:t>
            </w:r>
            <w:r w:rsidRPr="001408D5">
              <w:rPr>
                <w:rFonts w:asciiTheme="minorHAnsi" w:hAnsiTheme="minorHAnsi"/>
                <w:kern w:val="2"/>
                <w14:ligatures w14:val="standardContextual"/>
              </w:rPr>
              <w:t xml:space="preserve"> </w:t>
            </w:r>
            <w:r w:rsidRPr="001408D5">
              <w:t xml:space="preserve">If the PIHP does not demonstrate adequate implementation of HSAG’s recommendations during future compliance reviews, the PIHP may receive a </w:t>
            </w:r>
            <w:r w:rsidRPr="001408D5">
              <w:rPr>
                <w:i/>
                <w:iCs/>
              </w:rPr>
              <w:t>Not Met</w:t>
            </w:r>
            <w:r w:rsidRPr="001408D5">
              <w:t xml:space="preserve"> score.</w:t>
            </w:r>
          </w:p>
        </w:tc>
      </w:tr>
      <w:tr w:rsidR="009075F9" w:rsidRPr="0026679F" w14:paraId="4D8308D5" w14:textId="77777777" w:rsidTr="00683305">
        <w:trPr>
          <w:trHeight w:val="374"/>
          <w:jc w:val="center"/>
        </w:trPr>
        <w:tc>
          <w:tcPr>
            <w:tcW w:w="14011" w:type="dxa"/>
            <w:gridSpan w:val="5"/>
            <w:tcBorders>
              <w:top w:val="single" w:sz="4" w:space="0" w:color="000000"/>
              <w:bottom w:val="single" w:sz="4" w:space="0" w:color="auto"/>
            </w:tcBorders>
            <w:vAlign w:val="center"/>
          </w:tcPr>
          <w:p w14:paraId="5CB6024C" w14:textId="6092351E" w:rsidR="009075F9" w:rsidRPr="0026679F" w:rsidRDefault="009075F9" w:rsidP="009075F9">
            <w:pPr>
              <w:pStyle w:val="HSAGTableText"/>
              <w:rPr>
                <w:b/>
              </w:rPr>
            </w:pPr>
            <w:r w:rsidRPr="001408D5">
              <w:rPr>
                <w:b/>
              </w:rPr>
              <w:t>Required Actions:</w:t>
            </w:r>
            <w:r w:rsidRPr="001408D5">
              <w:t xml:space="preserve"> The PIHP must acknowledge receipt of each appeal within five business days of receipt.</w:t>
            </w:r>
          </w:p>
        </w:tc>
      </w:tr>
      <w:tr w:rsidR="009075F9" w:rsidRPr="00D16F05" w14:paraId="2FF5B3CD" w14:textId="77777777" w:rsidTr="00683305">
        <w:tblPrEx>
          <w:tblCellMar>
            <w:left w:w="108" w:type="dxa"/>
            <w:right w:w="108" w:type="dxa"/>
          </w:tblCellMar>
        </w:tblPrEx>
        <w:trPr>
          <w:gridBefore w:val="1"/>
          <w:wBefore w:w="7" w:type="dxa"/>
          <w:trHeight w:val="374"/>
          <w:jc w:val="center"/>
        </w:trPr>
        <w:tc>
          <w:tcPr>
            <w:tcW w:w="14004" w:type="dxa"/>
            <w:gridSpan w:val="4"/>
            <w:tcBorders>
              <w:top w:val="single" w:sz="4" w:space="0" w:color="auto"/>
              <w:bottom w:val="single" w:sz="4" w:space="0" w:color="000000" w:themeColor="text1"/>
            </w:tcBorders>
            <w:shd w:val="clear" w:color="auto" w:fill="F79548" w:themeFill="accent4"/>
          </w:tcPr>
          <w:p w14:paraId="36F6AA72" w14:textId="138B3DA7" w:rsidR="009075F9" w:rsidRPr="00D16F05" w:rsidRDefault="009075F9" w:rsidP="009075F9">
            <w:pPr>
              <w:pStyle w:val="HSAGTableText"/>
              <w:keepNext/>
              <w:contextualSpacing/>
              <w:rPr>
                <w:b/>
              </w:rPr>
            </w:pPr>
            <w:r>
              <w:rPr>
                <w:b/>
              </w:rPr>
              <w:lastRenderedPageBreak/>
              <w:t>PIHP Corrective Action Plan</w:t>
            </w:r>
          </w:p>
        </w:tc>
      </w:tr>
      <w:tr w:rsidR="009075F9" w:rsidRPr="00984D92" w14:paraId="0B72C632" w14:textId="77777777" w:rsidTr="00683305">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7FFF97E2" w14:textId="4D68E5F2" w:rsidR="009075F9" w:rsidRPr="00984D92" w:rsidRDefault="009075F9" w:rsidP="009075F9">
            <w:pPr>
              <w:pStyle w:val="HSAGTableText"/>
              <w:contextualSpacing/>
              <w:rPr>
                <w:bCs/>
              </w:rPr>
            </w:pPr>
            <w:r>
              <w:rPr>
                <w:b/>
              </w:rPr>
              <w:t>Root Cause Analysis:</w:t>
            </w:r>
            <w:r w:rsidRPr="003F5489">
              <w:rPr>
                <w:bCs/>
              </w:rPr>
              <w:t xml:space="preserve"> </w:t>
            </w:r>
            <w:r w:rsidR="004F53FC">
              <w:rPr>
                <w:bCs/>
              </w:rPr>
              <w:t>Lack of knowledge and education of staff</w:t>
            </w:r>
          </w:p>
        </w:tc>
      </w:tr>
      <w:tr w:rsidR="009075F9" w:rsidRPr="00FC2C0F" w14:paraId="643AA62E" w14:textId="77777777" w:rsidTr="00683305">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4D2A20D7" w14:textId="50E930D7" w:rsidR="009075F9" w:rsidRPr="00FC2C0F" w:rsidRDefault="009075F9" w:rsidP="009075F9">
            <w:pPr>
              <w:pStyle w:val="HSAGTableText"/>
              <w:contextualSpacing/>
              <w:rPr>
                <w:bCs/>
              </w:rPr>
            </w:pPr>
            <w:r>
              <w:rPr>
                <w:b/>
              </w:rPr>
              <w:t>PIHP Remediation Plan</w:t>
            </w:r>
            <w:r w:rsidRPr="00B30934">
              <w:rPr>
                <w:b/>
              </w:rPr>
              <w:t>:</w:t>
            </w:r>
            <w:r>
              <w:rPr>
                <w:bCs/>
              </w:rPr>
              <w:t xml:space="preserve"> </w:t>
            </w:r>
            <w:r w:rsidR="004F53FC">
              <w:rPr>
                <w:bCs/>
              </w:rPr>
              <w:t xml:space="preserve">The NMRE has implemented additional </w:t>
            </w:r>
            <w:proofErr w:type="gramStart"/>
            <w:r w:rsidR="004F53FC">
              <w:rPr>
                <w:bCs/>
              </w:rPr>
              <w:t>oversight</w:t>
            </w:r>
            <w:proofErr w:type="gramEnd"/>
            <w:r w:rsidR="004F53FC">
              <w:rPr>
                <w:bCs/>
              </w:rPr>
              <w:t xml:space="preserve"> for appeals. Beginning</w:t>
            </w:r>
            <w:r w:rsidR="0075648A">
              <w:rPr>
                <w:bCs/>
              </w:rPr>
              <w:t xml:space="preserve"> in</w:t>
            </w:r>
            <w:r w:rsidR="004F53FC">
              <w:rPr>
                <w:bCs/>
              </w:rPr>
              <w:t xml:space="preserve"> quarter one of fiscal year 2026, each regional provider will submit at least five (5) appeals for the NMRE to review and provide feedback to the provider. The NMRE will also intently review the quarterly appeal report sent to MDHHS for timeframe requirements. Furthermore, the NMRE will be providing </w:t>
            </w:r>
            <w:r w:rsidR="0075648A">
              <w:rPr>
                <w:bCs/>
              </w:rPr>
              <w:t>region-wide</w:t>
            </w:r>
            <w:r w:rsidR="004F53FC">
              <w:rPr>
                <w:bCs/>
              </w:rPr>
              <w:t>, in-depth re-training of grievance and appeal technical requirements.</w:t>
            </w:r>
          </w:p>
        </w:tc>
      </w:tr>
      <w:tr w:rsidR="009075F9" w:rsidRPr="00FC2C0F" w14:paraId="39A8FD0C" w14:textId="77777777" w:rsidTr="00683305">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390616E4" w14:textId="2B153500" w:rsidR="009075F9" w:rsidRPr="00FC2C0F" w:rsidRDefault="009075F9" w:rsidP="009075F9">
            <w:pPr>
              <w:pStyle w:val="HSAGTableText"/>
              <w:contextualSpacing/>
              <w:rPr>
                <w:bCs/>
              </w:rPr>
            </w:pPr>
            <w:r w:rsidRPr="00B30934">
              <w:rPr>
                <w:b/>
              </w:rPr>
              <w:t>Responsible Individual(s):</w:t>
            </w:r>
            <w:r>
              <w:rPr>
                <w:bCs/>
              </w:rPr>
              <w:t xml:space="preserve"> </w:t>
            </w:r>
            <w:r w:rsidR="004F53FC">
              <w:rPr>
                <w:bCs/>
              </w:rPr>
              <w:t>Brie Molaison, NMRE Compliance and Customer Services Officer</w:t>
            </w:r>
          </w:p>
        </w:tc>
      </w:tr>
      <w:tr w:rsidR="009075F9" w:rsidRPr="00FC2C0F" w14:paraId="6873DE55" w14:textId="77777777" w:rsidTr="00683305">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auto"/>
            </w:tcBorders>
          </w:tcPr>
          <w:p w14:paraId="2300957F" w14:textId="7D89C22D" w:rsidR="009075F9" w:rsidRPr="00FC2C0F" w:rsidRDefault="009075F9" w:rsidP="009075F9">
            <w:pPr>
              <w:pStyle w:val="HSAGTableText"/>
              <w:contextualSpacing/>
              <w:rPr>
                <w:bCs/>
              </w:rPr>
            </w:pPr>
            <w:r w:rsidRPr="00B30934">
              <w:rPr>
                <w:b/>
              </w:rPr>
              <w:t>Timeline:</w:t>
            </w:r>
            <w:r>
              <w:rPr>
                <w:bCs/>
              </w:rPr>
              <w:t xml:space="preserve"> </w:t>
            </w:r>
            <w:r w:rsidR="004F53FC">
              <w:rPr>
                <w:bCs/>
              </w:rPr>
              <w:t>October 2, 2025 – March 2026</w:t>
            </w:r>
          </w:p>
        </w:tc>
      </w:tr>
      <w:tr w:rsidR="009075F9" w14:paraId="310D4C27" w14:textId="77777777" w:rsidTr="004E3199">
        <w:tblPrEx>
          <w:tblCellMar>
            <w:left w:w="108" w:type="dxa"/>
            <w:right w:w="108" w:type="dxa"/>
          </w:tblCellMar>
        </w:tblPrEx>
        <w:trPr>
          <w:trHeight w:val="374"/>
          <w:jc w:val="center"/>
        </w:trPr>
        <w:tc>
          <w:tcPr>
            <w:tcW w:w="10432" w:type="dxa"/>
            <w:gridSpan w:val="3"/>
            <w:tcBorders>
              <w:top w:val="single" w:sz="4" w:space="0" w:color="auto"/>
              <w:bottom w:val="single" w:sz="18" w:space="0" w:color="00549E" w:themeColor="text2"/>
            </w:tcBorders>
            <w:shd w:val="clear" w:color="auto" w:fill="F2F2F2" w:themeFill="background1" w:themeFillShade="F2"/>
          </w:tcPr>
          <w:p w14:paraId="0A5C629E" w14:textId="35AB6093" w:rsidR="009075F9" w:rsidRPr="00FC2C0F" w:rsidRDefault="009075F9" w:rsidP="009075F9">
            <w:pPr>
              <w:pStyle w:val="HSAGTableText"/>
              <w:contextualSpacing/>
              <w:rPr>
                <w:bCs/>
              </w:rPr>
            </w:pPr>
            <w:r>
              <w:rPr>
                <w:b/>
              </w:rPr>
              <w:t>MDHHS/HSAG Response:</w:t>
            </w:r>
            <w:r>
              <w:rPr>
                <w:bCs/>
              </w:rPr>
              <w:t xml:space="preserve"> </w:t>
            </w:r>
            <w:r w:rsidR="0064133B" w:rsidRPr="0064133B">
              <w:rPr>
                <w:bCs/>
              </w:rPr>
              <w:t xml:space="preserve">The PIHP’s remediation plan is sufficient to ensure compliance with the requirements for this program area. </w:t>
            </w:r>
            <w:r w:rsidR="00C76AB3" w:rsidRPr="008D1F4A">
              <w:rPr>
                <w:bCs/>
              </w:rPr>
              <w:t xml:space="preserve">However, </w:t>
            </w:r>
            <w:r w:rsidR="00C76AB3">
              <w:rPr>
                <w:bCs/>
              </w:rPr>
              <w:t xml:space="preserve">while the PIHP will be reviewing </w:t>
            </w:r>
            <w:proofErr w:type="gramStart"/>
            <w:r w:rsidR="00C76AB3">
              <w:rPr>
                <w:bCs/>
              </w:rPr>
              <w:t>a sample</w:t>
            </w:r>
            <w:proofErr w:type="gramEnd"/>
            <w:r w:rsidR="00C76AB3">
              <w:rPr>
                <w:bCs/>
              </w:rPr>
              <w:t xml:space="preserve"> of appeal cases, a sampling of records does not </w:t>
            </w:r>
            <w:r w:rsidR="009E2556">
              <w:rPr>
                <w:bCs/>
              </w:rPr>
              <w:t>ensure</w:t>
            </w:r>
            <w:r w:rsidR="00C76AB3">
              <w:rPr>
                <w:bCs/>
              </w:rPr>
              <w:t xml:space="preserve"> that all appeals are consistently acknowledged timely. As such, HSAG recommends that the PIHP enhance reporting mechanisms to monitor the timeliness of all acknowledgements. </w:t>
            </w:r>
            <w:r w:rsidR="0064133B" w:rsidRPr="0064133B">
              <w:rPr>
                <w:bCs/>
              </w:rPr>
              <w:t xml:space="preserve">While no additional information is required to be submitted at this time, the PIHP must proceed with </w:t>
            </w:r>
            <w:proofErr w:type="gramStart"/>
            <w:r w:rsidR="0064133B" w:rsidRPr="0064133B">
              <w:rPr>
                <w:bCs/>
              </w:rPr>
              <w:t>timely</w:t>
            </w:r>
            <w:proofErr w:type="gramEnd"/>
            <w:r w:rsidR="0064133B" w:rsidRPr="0064133B">
              <w:rPr>
                <w:bCs/>
              </w:rPr>
              <w:t xml:space="preserve"> implementation of its action plans. Please note, an </w:t>
            </w:r>
            <w:r w:rsidR="0064133B" w:rsidRPr="0064133B">
              <w:rPr>
                <w:bCs/>
                <w:i/>
                <w:iCs/>
              </w:rPr>
              <w:t>Accepted</w:t>
            </w:r>
            <w:r w:rsidR="00C76AB3">
              <w:rPr>
                <w:bCs/>
                <w:i/>
                <w:iCs/>
              </w:rPr>
              <w:t xml:space="preserve"> </w:t>
            </w:r>
            <w:proofErr w:type="gramStart"/>
            <w:r w:rsidR="00C76AB3">
              <w:rPr>
                <w:bCs/>
                <w:i/>
                <w:iCs/>
              </w:rPr>
              <w:t>With</w:t>
            </w:r>
            <w:proofErr w:type="gramEnd"/>
            <w:r w:rsidR="00C76AB3">
              <w:rPr>
                <w:bCs/>
                <w:i/>
                <w:iCs/>
              </w:rPr>
              <w:t xml:space="preserve"> Recommendations</w:t>
            </w:r>
            <w:r w:rsidR="0064133B" w:rsidRPr="0064133B">
              <w:rPr>
                <w:bCs/>
              </w:rPr>
              <w:t xml:space="preserve"> designation is not a guarantee of future compliance. Implementation of the PIHP’s action plans and demonstration of compliance will be assessed during future compliance review activities.</w:t>
            </w:r>
          </w:p>
        </w:tc>
        <w:tc>
          <w:tcPr>
            <w:tcW w:w="3579" w:type="dxa"/>
            <w:gridSpan w:val="2"/>
            <w:tcBorders>
              <w:top w:val="single" w:sz="4" w:space="0" w:color="auto"/>
              <w:bottom w:val="single" w:sz="18" w:space="0" w:color="00549E" w:themeColor="text2"/>
            </w:tcBorders>
            <w:shd w:val="clear" w:color="auto" w:fill="F2F2F2" w:themeFill="background1" w:themeFillShade="F2"/>
          </w:tcPr>
          <w:p w14:paraId="15400A76" w14:textId="5F9EE4DC" w:rsidR="009075F9" w:rsidRPr="00C123EE" w:rsidRDefault="00000000" w:rsidP="009075F9">
            <w:pPr>
              <w:pStyle w:val="HSAGTableText"/>
              <w:contextualSpacing/>
              <w:rPr>
                <w:bCs/>
              </w:rPr>
            </w:pPr>
            <w:sdt>
              <w:sdtPr>
                <w:rPr>
                  <w:bCs/>
                </w:rPr>
                <w:id w:val="222574229"/>
                <w14:checkbox>
                  <w14:checked w14:val="0"/>
                  <w14:checkedState w14:val="2612" w14:font="MS Gothic"/>
                  <w14:uncheckedState w14:val="2610" w14:font="MS Gothic"/>
                </w14:checkbox>
              </w:sdtPr>
              <w:sdtContent>
                <w:r w:rsidR="0046607E">
                  <w:rPr>
                    <w:rFonts w:ascii="MS Gothic" w:eastAsia="MS Gothic" w:hAnsi="MS Gothic" w:hint="eastAsia"/>
                    <w:bCs/>
                  </w:rPr>
                  <w:t>☐</w:t>
                </w:r>
              </w:sdtContent>
            </w:sdt>
            <w:r w:rsidR="009075F9" w:rsidRPr="00C123EE">
              <w:rPr>
                <w:bCs/>
              </w:rPr>
              <w:t xml:space="preserve"> Accepted</w:t>
            </w:r>
          </w:p>
          <w:p w14:paraId="54DE1A25" w14:textId="637B496A" w:rsidR="009075F9" w:rsidRPr="00C123EE" w:rsidRDefault="00000000" w:rsidP="009075F9">
            <w:pPr>
              <w:pStyle w:val="HSAGTableText"/>
              <w:contextualSpacing/>
              <w:rPr>
                <w:bCs/>
              </w:rPr>
            </w:pPr>
            <w:sdt>
              <w:sdtPr>
                <w:rPr>
                  <w:bCs/>
                </w:rPr>
                <w:id w:val="1308367090"/>
                <w14:checkbox>
                  <w14:checked w14:val="1"/>
                  <w14:checkedState w14:val="2612" w14:font="MS Gothic"/>
                  <w14:uncheckedState w14:val="2610" w14:font="MS Gothic"/>
                </w14:checkbox>
              </w:sdtPr>
              <w:sdtContent>
                <w:r w:rsidR="0046607E">
                  <w:rPr>
                    <w:rFonts w:ascii="MS Gothic" w:eastAsia="MS Gothic" w:hAnsi="MS Gothic" w:hint="eastAsia"/>
                    <w:bCs/>
                  </w:rPr>
                  <w:t>☒</w:t>
                </w:r>
              </w:sdtContent>
            </w:sdt>
            <w:r w:rsidR="009075F9" w:rsidRPr="00C123EE">
              <w:rPr>
                <w:bCs/>
              </w:rPr>
              <w:t xml:space="preserve"> Accepted </w:t>
            </w:r>
            <w:r w:rsidR="009075F9">
              <w:rPr>
                <w:bCs/>
              </w:rPr>
              <w:t>W</w:t>
            </w:r>
            <w:r w:rsidR="009075F9" w:rsidRPr="00C123EE">
              <w:rPr>
                <w:bCs/>
              </w:rPr>
              <w:t>ith Recommendations</w:t>
            </w:r>
          </w:p>
          <w:p w14:paraId="679DF001" w14:textId="77777777" w:rsidR="009075F9" w:rsidRDefault="00000000" w:rsidP="009075F9">
            <w:pPr>
              <w:pStyle w:val="HSAGTableText"/>
              <w:contextualSpacing/>
              <w:rPr>
                <w:b/>
              </w:rPr>
            </w:pPr>
            <w:sdt>
              <w:sdtPr>
                <w:rPr>
                  <w:bCs/>
                </w:rPr>
                <w:id w:val="1326935808"/>
                <w14:checkbox>
                  <w14:checked w14:val="0"/>
                  <w14:checkedState w14:val="2612" w14:font="MS Gothic"/>
                  <w14:uncheckedState w14:val="2610" w14:font="MS Gothic"/>
                </w14:checkbox>
              </w:sdtPr>
              <w:sdtContent>
                <w:r w:rsidR="009075F9" w:rsidRPr="00C123EE">
                  <w:rPr>
                    <w:rFonts w:ascii="MS Gothic" w:eastAsia="MS Gothic" w:hAnsi="MS Gothic" w:hint="eastAsia"/>
                    <w:bCs/>
                  </w:rPr>
                  <w:t>☐</w:t>
                </w:r>
              </w:sdtContent>
            </w:sdt>
            <w:r w:rsidR="009075F9" w:rsidRPr="00C123EE">
              <w:rPr>
                <w:bCs/>
              </w:rPr>
              <w:t xml:space="preserve"> Not Accepted</w:t>
            </w:r>
          </w:p>
        </w:tc>
      </w:tr>
      <w:tr w:rsidR="009075F9" w:rsidRPr="00903F99" w14:paraId="235761CA" w14:textId="77777777" w:rsidTr="004E3199">
        <w:trPr>
          <w:trHeight w:val="374"/>
          <w:jc w:val="center"/>
        </w:trPr>
        <w:tc>
          <w:tcPr>
            <w:tcW w:w="6471" w:type="dxa"/>
            <w:gridSpan w:val="2"/>
            <w:vMerge w:val="restart"/>
          </w:tcPr>
          <w:p w14:paraId="61157CA8" w14:textId="77777777" w:rsidR="009075F9" w:rsidRPr="001408D5" w:rsidRDefault="009075F9" w:rsidP="009075F9">
            <w:pPr>
              <w:pStyle w:val="ListNoNum"/>
              <w:keepNext/>
              <w:rPr>
                <w:i/>
              </w:rPr>
            </w:pPr>
            <w:r w:rsidRPr="001408D5">
              <w:rPr>
                <w:spacing w:val="-4"/>
              </w:rPr>
              <w:t>18.</w:t>
            </w:r>
            <w:r w:rsidRPr="001408D5">
              <w:rPr>
                <w:spacing w:val="-4"/>
              </w:rPr>
              <w:tab/>
            </w:r>
            <w:r w:rsidRPr="001408D5">
              <w:t>The PIHP treats oral inquiries seeking to appeal an ABD as appeals.</w:t>
            </w:r>
          </w:p>
          <w:p w14:paraId="105C1772" w14:textId="77777777" w:rsidR="009075F9" w:rsidRPr="001408D5" w:rsidRDefault="009075F9" w:rsidP="009075F9">
            <w:pPr>
              <w:pStyle w:val="HSAGTableContracttext"/>
            </w:pPr>
          </w:p>
          <w:p w14:paraId="37FC1ECC" w14:textId="77777777" w:rsidR="009075F9" w:rsidRPr="001408D5" w:rsidRDefault="009075F9" w:rsidP="009075F9">
            <w:pPr>
              <w:pStyle w:val="HSAGTableContracttext"/>
              <w:rPr>
                <w:i/>
              </w:rPr>
            </w:pPr>
            <w:r w:rsidRPr="001408D5">
              <w:t>42 CFR §438.228</w:t>
            </w:r>
          </w:p>
          <w:p w14:paraId="5E363C4B" w14:textId="77777777" w:rsidR="009075F9" w:rsidRPr="001408D5" w:rsidRDefault="009075F9" w:rsidP="009075F9">
            <w:pPr>
              <w:pStyle w:val="HSAGTableContracttext"/>
              <w:rPr>
                <w:i/>
              </w:rPr>
            </w:pPr>
            <w:r w:rsidRPr="001408D5">
              <w:t>42 CFR §438.406(b)(3)</w:t>
            </w:r>
          </w:p>
          <w:p w14:paraId="61B3EE53" w14:textId="77777777" w:rsidR="009075F9" w:rsidRPr="001408D5" w:rsidRDefault="009075F9" w:rsidP="009075F9">
            <w:pPr>
              <w:pStyle w:val="HSAGTableContracttext"/>
              <w:rPr>
                <w:i/>
              </w:rPr>
            </w:pPr>
            <w:r w:rsidRPr="001408D5">
              <w:t xml:space="preserve">42 CFR §457.1260(d) </w:t>
            </w:r>
          </w:p>
          <w:p w14:paraId="4ECAC144" w14:textId="77777777" w:rsidR="009075F9" w:rsidRPr="001408D5" w:rsidRDefault="009075F9" w:rsidP="009075F9">
            <w:pPr>
              <w:pStyle w:val="HSAGTableContracttext"/>
              <w:rPr>
                <w:i/>
              </w:rPr>
            </w:pPr>
            <w:r w:rsidRPr="001408D5">
              <w:t>Contract Schedule A—1(M)(2)(g)</w:t>
            </w:r>
          </w:p>
          <w:p w14:paraId="662F3C52" w14:textId="536522BF" w:rsidR="009075F9" w:rsidRPr="00903F99" w:rsidRDefault="009075F9" w:rsidP="009075F9">
            <w:pPr>
              <w:pStyle w:val="HSAGTableContracttext"/>
              <w:keepNext/>
              <w:spacing w:before="0" w:after="0"/>
              <w:ind w:left="1440"/>
              <w:contextualSpacing/>
              <w:rPr>
                <w:i/>
                <w:szCs w:val="18"/>
              </w:rPr>
            </w:pPr>
            <w:r w:rsidRPr="001408D5">
              <w:t xml:space="preserve">Appeal and Grievance Resolution Processes Technical Requirement—VII(A)(2) </w:t>
            </w:r>
          </w:p>
        </w:tc>
        <w:tc>
          <w:tcPr>
            <w:tcW w:w="6114" w:type="dxa"/>
            <w:gridSpan w:val="2"/>
            <w:shd w:val="clear" w:color="auto" w:fill="FFFFFF" w:themeFill="background1"/>
          </w:tcPr>
          <w:p w14:paraId="69F2D971" w14:textId="77777777" w:rsidR="009075F9" w:rsidRPr="001408D5" w:rsidRDefault="009075F9" w:rsidP="009075F9">
            <w:pPr>
              <w:pStyle w:val="HSAGTableText"/>
              <w:contextualSpacing/>
              <w:rPr>
                <w:b/>
                <w:bCs/>
              </w:rPr>
            </w:pPr>
            <w:r w:rsidRPr="001408D5">
              <w:rPr>
                <w:b/>
                <w:bCs/>
              </w:rPr>
              <w:t>HSAG Required Evidence:</w:t>
            </w:r>
          </w:p>
          <w:p w14:paraId="248CBF03" w14:textId="77777777" w:rsidR="009075F9" w:rsidRPr="001408D5" w:rsidRDefault="009075F9" w:rsidP="00595A8D">
            <w:pPr>
              <w:pStyle w:val="HSAGTableText"/>
              <w:numPr>
                <w:ilvl w:val="0"/>
                <w:numId w:val="19"/>
              </w:numPr>
              <w:contextualSpacing/>
            </w:pPr>
            <w:r w:rsidRPr="001408D5">
              <w:t>Policies and procedures</w:t>
            </w:r>
          </w:p>
          <w:p w14:paraId="62A35698" w14:textId="77777777" w:rsidR="009075F9" w:rsidRDefault="009075F9" w:rsidP="00595A8D">
            <w:pPr>
              <w:pStyle w:val="HSAGTableText"/>
              <w:numPr>
                <w:ilvl w:val="0"/>
                <w:numId w:val="19"/>
              </w:numPr>
              <w:contextualSpacing/>
            </w:pPr>
            <w:r w:rsidRPr="001408D5">
              <w:t>Member materials, such as the member handbook</w:t>
            </w:r>
          </w:p>
          <w:p w14:paraId="3D2A12EB" w14:textId="70B4FA38" w:rsidR="009075F9" w:rsidRPr="00903F99" w:rsidRDefault="009075F9" w:rsidP="00595A8D">
            <w:pPr>
              <w:pStyle w:val="HSAGTableText"/>
              <w:numPr>
                <w:ilvl w:val="0"/>
                <w:numId w:val="19"/>
              </w:numPr>
              <w:contextualSpacing/>
            </w:pPr>
            <w:r w:rsidRPr="001408D5">
              <w:t>HSAG will also use the results of the Appeal File Review</w:t>
            </w:r>
          </w:p>
        </w:tc>
        <w:tc>
          <w:tcPr>
            <w:tcW w:w="1426" w:type="dxa"/>
            <w:vMerge w:val="restart"/>
            <w:shd w:val="clear" w:color="auto" w:fill="FFFFFF" w:themeFill="background1"/>
          </w:tcPr>
          <w:p w14:paraId="6CF4EAAC" w14:textId="77777777" w:rsidR="009075F9" w:rsidRPr="001408D5" w:rsidRDefault="009075F9" w:rsidP="009075F9">
            <w:pPr>
              <w:spacing w:before="60" w:after="0"/>
              <w:contextualSpacing/>
              <w:rPr>
                <w:sz w:val="22"/>
              </w:rPr>
            </w:pPr>
            <w:r w:rsidRPr="001408D5">
              <w:rPr>
                <w:rFonts w:ascii="MS Gothic" w:eastAsia="MS Gothic" w:hAnsi="MS Gothic" w:hint="eastAsia"/>
                <w:sz w:val="22"/>
              </w:rPr>
              <w:t>☐</w:t>
            </w:r>
            <w:r w:rsidRPr="001408D5">
              <w:rPr>
                <w:sz w:val="22"/>
              </w:rPr>
              <w:t xml:space="preserve"> Met</w:t>
            </w:r>
          </w:p>
          <w:p w14:paraId="0ADBCB17" w14:textId="77777777" w:rsidR="009075F9" w:rsidRPr="001408D5" w:rsidRDefault="00000000" w:rsidP="009075F9">
            <w:pPr>
              <w:spacing w:before="60" w:after="0"/>
              <w:contextualSpacing/>
              <w:rPr>
                <w:sz w:val="22"/>
              </w:rPr>
            </w:pPr>
            <w:sdt>
              <w:sdtPr>
                <w:rPr>
                  <w:rFonts w:ascii="MS Gothic" w:eastAsia="MS Gothic" w:hAnsi="MS Gothic" w:hint="eastAsia"/>
                  <w:sz w:val="22"/>
                </w:rPr>
                <w:id w:val="266362884"/>
                <w14:checkbox>
                  <w14:checked w14:val="1"/>
                  <w14:checkedState w14:val="2612" w14:font="MS Gothic"/>
                  <w14:uncheckedState w14:val="2610" w14:font="MS Gothic"/>
                </w14:checkbox>
              </w:sdtPr>
              <w:sdtContent>
                <w:r w:rsidR="009075F9" w:rsidRPr="001408D5">
                  <w:rPr>
                    <w:rFonts w:ascii="MS Gothic" w:eastAsia="MS Gothic" w:hAnsi="MS Gothic" w:hint="eastAsia"/>
                    <w:sz w:val="22"/>
                  </w:rPr>
                  <w:t>☒</w:t>
                </w:r>
              </w:sdtContent>
            </w:sdt>
            <w:r w:rsidR="009075F9" w:rsidRPr="001408D5">
              <w:rPr>
                <w:sz w:val="22"/>
              </w:rPr>
              <w:t xml:space="preserve"> Not Met</w:t>
            </w:r>
          </w:p>
          <w:p w14:paraId="1224A840" w14:textId="2D0AD58C" w:rsidR="009075F9" w:rsidRPr="00903F99" w:rsidRDefault="009075F9" w:rsidP="009075F9">
            <w:pPr>
              <w:spacing w:before="0" w:after="0"/>
              <w:contextualSpacing/>
              <w:rPr>
                <w:sz w:val="22"/>
              </w:rPr>
            </w:pPr>
            <w:r w:rsidRPr="001408D5">
              <w:rPr>
                <w:rFonts w:ascii="MS Gothic" w:eastAsia="MS Gothic" w:hAnsi="MS Gothic" w:hint="eastAsia"/>
                <w:sz w:val="22"/>
              </w:rPr>
              <w:t>☐</w:t>
            </w:r>
            <w:r w:rsidRPr="001408D5">
              <w:rPr>
                <w:sz w:val="22"/>
              </w:rPr>
              <w:t xml:space="preserve"> NA</w:t>
            </w:r>
          </w:p>
        </w:tc>
      </w:tr>
      <w:tr w:rsidR="009075F9" w:rsidRPr="00903F99" w14:paraId="7570C7CA" w14:textId="77777777" w:rsidTr="004E3199">
        <w:trPr>
          <w:trHeight w:val="374"/>
          <w:jc w:val="center"/>
        </w:trPr>
        <w:tc>
          <w:tcPr>
            <w:tcW w:w="6471" w:type="dxa"/>
            <w:gridSpan w:val="2"/>
            <w:vMerge/>
          </w:tcPr>
          <w:p w14:paraId="6A4F413F" w14:textId="77777777" w:rsidR="009075F9" w:rsidRPr="00903F99" w:rsidRDefault="009075F9" w:rsidP="00595A8D">
            <w:pPr>
              <w:pStyle w:val="HSAGNumbers"/>
              <w:numPr>
                <w:ilvl w:val="0"/>
                <w:numId w:val="16"/>
              </w:numPr>
              <w:spacing w:before="0" w:after="0"/>
              <w:contextualSpacing/>
            </w:pPr>
          </w:p>
        </w:tc>
        <w:tc>
          <w:tcPr>
            <w:tcW w:w="6114" w:type="dxa"/>
            <w:gridSpan w:val="2"/>
            <w:shd w:val="clear" w:color="auto" w:fill="FFFFFF" w:themeFill="background1"/>
          </w:tcPr>
          <w:p w14:paraId="13AF2B70" w14:textId="77777777" w:rsidR="009075F9" w:rsidRPr="001408D5" w:rsidRDefault="009075F9" w:rsidP="009075F9">
            <w:pPr>
              <w:pStyle w:val="HSAGTableText"/>
              <w:contextualSpacing/>
              <w:rPr>
                <w:b/>
                <w:bCs/>
              </w:rPr>
            </w:pPr>
            <w:r w:rsidRPr="001408D5">
              <w:rPr>
                <w:b/>
                <w:bCs/>
              </w:rPr>
              <w:t>Evidence as Submitted by the PIHP:</w:t>
            </w:r>
          </w:p>
          <w:p w14:paraId="0C454B88" w14:textId="77777777" w:rsidR="009075F9" w:rsidRDefault="009075F9" w:rsidP="00595A8D">
            <w:pPr>
              <w:pStyle w:val="HSAGTableText"/>
              <w:numPr>
                <w:ilvl w:val="0"/>
                <w:numId w:val="31"/>
              </w:numPr>
              <w:contextualSpacing/>
            </w:pPr>
            <w:r w:rsidRPr="001408D5">
              <w:t>S9_E18_ Grievance and Appeals Procedure page 2</w:t>
            </w:r>
          </w:p>
          <w:p w14:paraId="7D86F6EF" w14:textId="63A6ACEF" w:rsidR="009075F9" w:rsidRPr="00903F99" w:rsidRDefault="009075F9" w:rsidP="00595A8D">
            <w:pPr>
              <w:pStyle w:val="HSAGTableText"/>
              <w:numPr>
                <w:ilvl w:val="0"/>
                <w:numId w:val="31"/>
              </w:numPr>
              <w:contextualSpacing/>
            </w:pPr>
            <w:r w:rsidRPr="001408D5">
              <w:t xml:space="preserve">S9_E18_Guide to </w:t>
            </w:r>
            <w:proofErr w:type="spellStart"/>
            <w:r w:rsidRPr="001408D5">
              <w:t>Services_page</w:t>
            </w:r>
            <w:proofErr w:type="spellEnd"/>
            <w:r w:rsidRPr="001408D5">
              <w:t xml:space="preserve"> 15</w:t>
            </w:r>
          </w:p>
        </w:tc>
        <w:tc>
          <w:tcPr>
            <w:tcW w:w="1426" w:type="dxa"/>
            <w:vMerge/>
            <w:shd w:val="clear" w:color="auto" w:fill="FFFFFF" w:themeFill="background1"/>
          </w:tcPr>
          <w:p w14:paraId="3DBC21FD" w14:textId="77777777" w:rsidR="009075F9" w:rsidRPr="00903F99" w:rsidRDefault="009075F9" w:rsidP="009075F9">
            <w:pPr>
              <w:spacing w:before="0" w:after="0"/>
              <w:contextualSpacing/>
              <w:rPr>
                <w:sz w:val="22"/>
              </w:rPr>
            </w:pPr>
          </w:p>
        </w:tc>
      </w:tr>
      <w:tr w:rsidR="009075F9" w:rsidRPr="00903F99" w14:paraId="56C48558" w14:textId="77777777" w:rsidTr="004E3199">
        <w:trPr>
          <w:trHeight w:val="374"/>
          <w:jc w:val="center"/>
        </w:trPr>
        <w:tc>
          <w:tcPr>
            <w:tcW w:w="14011" w:type="dxa"/>
            <w:gridSpan w:val="5"/>
            <w:vAlign w:val="center"/>
          </w:tcPr>
          <w:p w14:paraId="02AD8B45" w14:textId="7D3F3450" w:rsidR="009075F9" w:rsidRPr="00903F99" w:rsidRDefault="009075F9" w:rsidP="009075F9">
            <w:pPr>
              <w:pStyle w:val="HSAGTableText"/>
              <w:spacing w:before="0" w:after="0"/>
            </w:pPr>
            <w:r w:rsidRPr="001408D5">
              <w:rPr>
                <w:b/>
              </w:rPr>
              <w:t>PIHP Description of Process:</w:t>
            </w:r>
            <w:r w:rsidRPr="001408D5">
              <w:t xml:space="preserve"> The PIHP accepts oral appeal requests. </w:t>
            </w:r>
          </w:p>
        </w:tc>
      </w:tr>
      <w:tr w:rsidR="009075F9" w:rsidRPr="0026679F" w14:paraId="45FE1723" w14:textId="77777777" w:rsidTr="004E3199">
        <w:trPr>
          <w:trHeight w:val="374"/>
          <w:jc w:val="center"/>
        </w:trPr>
        <w:tc>
          <w:tcPr>
            <w:tcW w:w="14011" w:type="dxa"/>
            <w:gridSpan w:val="5"/>
            <w:tcBorders>
              <w:bottom w:val="single" w:sz="4" w:space="0" w:color="000000"/>
            </w:tcBorders>
            <w:vAlign w:val="center"/>
          </w:tcPr>
          <w:p w14:paraId="4C3C7269" w14:textId="7CC6E947" w:rsidR="009075F9" w:rsidRPr="0026679F" w:rsidRDefault="009075F9" w:rsidP="009075F9">
            <w:pPr>
              <w:pStyle w:val="HSAGTableText"/>
              <w:spacing w:before="0"/>
            </w:pPr>
            <w:r w:rsidRPr="001408D5">
              <w:rPr>
                <w:b/>
                <w:color w:val="auto"/>
              </w:rPr>
              <w:t>HSAG Findings:</w:t>
            </w:r>
            <w:r w:rsidRPr="001408D5">
              <w:rPr>
                <w:color w:val="auto"/>
              </w:rPr>
              <w:t xml:space="preserve"> According to the </w:t>
            </w:r>
            <w:r w:rsidRPr="001408D5">
              <w:rPr>
                <w:i/>
                <w:iCs/>
                <w:color w:val="auto"/>
              </w:rPr>
              <w:t>Grievance and Appeals Procedure</w:t>
            </w:r>
            <w:r w:rsidRPr="001408D5">
              <w:rPr>
                <w:color w:val="auto"/>
              </w:rPr>
              <w:t xml:space="preserve">, “The enrollee may request an appeal either orally or in writing. Unless the enrollee requests an expedited resolution, an oral appeal must be followed by a written, signed appeal.”; and according to the SUD provider manual, “The Recipient </w:t>
            </w:r>
            <w:r w:rsidRPr="001408D5">
              <w:rPr>
                <w:color w:val="auto"/>
              </w:rPr>
              <w:lastRenderedPageBreak/>
              <w:t xml:space="preserve">Rights Advisors may also take a verbal request over the phone. However, an attempt to confirm the request in writing must be made unless the client requests expedited resolution.”; and according to the Northeast Michigan Community Mental Health Authority </w:t>
            </w:r>
            <w:r w:rsidRPr="001408D5">
              <w:rPr>
                <w:i/>
                <w:iCs/>
                <w:color w:val="auto"/>
              </w:rPr>
              <w:t>Grievance and Disputes over Decisions regarding Services and Supports</w:t>
            </w:r>
            <w:r w:rsidRPr="001408D5">
              <w:rPr>
                <w:color w:val="auto"/>
              </w:rPr>
              <w:t xml:space="preserve"> policy, “The request may be oral or in writing. If oral, the request must be confirmed in writing unless expedited resolution was requested.” However, CMS removed the federal rule that required a written signed appeal following an oral request for a verbal appeal in the 2020 update to the Medicaid managed care rule. During the SFY 2022 compliance review activity, HSAG also noted that the PIHP’s policy was incorrect and recommended that it be updated. While the case file review verified that the PIHP accepted verbal requests for appeals, given that the PIHP produced three documents that included inaccurate information and that HSAG’s prior recommendations were not addressed, a </w:t>
            </w:r>
            <w:r w:rsidRPr="001408D5">
              <w:rPr>
                <w:i/>
                <w:iCs/>
                <w:color w:val="auto"/>
              </w:rPr>
              <w:t>Not Met</w:t>
            </w:r>
            <w:r w:rsidRPr="001408D5">
              <w:rPr>
                <w:color w:val="auto"/>
              </w:rPr>
              <w:t xml:space="preserve"> score was warranted for this element.</w:t>
            </w:r>
          </w:p>
        </w:tc>
      </w:tr>
      <w:tr w:rsidR="009075F9" w:rsidRPr="0026679F" w14:paraId="544165F2" w14:textId="77777777" w:rsidTr="004E3199">
        <w:trPr>
          <w:trHeight w:val="374"/>
          <w:jc w:val="center"/>
        </w:trPr>
        <w:tc>
          <w:tcPr>
            <w:tcW w:w="14011" w:type="dxa"/>
            <w:gridSpan w:val="5"/>
            <w:tcBorders>
              <w:top w:val="single" w:sz="4" w:space="0" w:color="000000"/>
              <w:bottom w:val="single" w:sz="4" w:space="0" w:color="auto"/>
            </w:tcBorders>
            <w:vAlign w:val="center"/>
          </w:tcPr>
          <w:p w14:paraId="3FCA7042" w14:textId="75F051AF" w:rsidR="009075F9" w:rsidRPr="0026679F" w:rsidRDefault="009075F9" w:rsidP="009075F9">
            <w:pPr>
              <w:pStyle w:val="HSAGTableText"/>
              <w:rPr>
                <w:b/>
              </w:rPr>
            </w:pPr>
            <w:r w:rsidRPr="001408D5">
              <w:rPr>
                <w:b/>
              </w:rPr>
              <w:lastRenderedPageBreak/>
              <w:t>Required Actions:</w:t>
            </w:r>
            <w:r w:rsidRPr="001408D5">
              <w:t xml:space="preserve"> The PIHP treats oral inquiries seeking </w:t>
            </w:r>
            <w:proofErr w:type="gramStart"/>
            <w:r w:rsidRPr="001408D5">
              <w:t>to appeal</w:t>
            </w:r>
            <w:proofErr w:type="gramEnd"/>
            <w:r w:rsidRPr="001408D5">
              <w:t xml:space="preserve"> an ABD as appeals. The PIHP must ensure all applicable PIHP and CMHPS documents are reviewed and updated to include an accurate reflection of the federal Medicaid managed care rule.</w:t>
            </w:r>
          </w:p>
        </w:tc>
      </w:tr>
      <w:tr w:rsidR="009075F9" w:rsidRPr="00D16F05" w14:paraId="1454A474" w14:textId="77777777" w:rsidTr="004E3199">
        <w:tblPrEx>
          <w:tblCellMar>
            <w:left w:w="108" w:type="dxa"/>
            <w:right w:w="108" w:type="dxa"/>
          </w:tblCellMar>
        </w:tblPrEx>
        <w:trPr>
          <w:trHeight w:val="374"/>
          <w:jc w:val="center"/>
        </w:trPr>
        <w:tc>
          <w:tcPr>
            <w:tcW w:w="14011" w:type="dxa"/>
            <w:gridSpan w:val="5"/>
            <w:tcBorders>
              <w:top w:val="single" w:sz="4" w:space="0" w:color="auto"/>
              <w:bottom w:val="single" w:sz="4" w:space="0" w:color="000000" w:themeColor="text1"/>
            </w:tcBorders>
            <w:shd w:val="clear" w:color="auto" w:fill="F79548" w:themeFill="accent4"/>
          </w:tcPr>
          <w:p w14:paraId="6BF0EA2D" w14:textId="77777777" w:rsidR="009075F9" w:rsidRPr="00D16F05" w:rsidRDefault="009075F9" w:rsidP="009075F9">
            <w:pPr>
              <w:pStyle w:val="HSAGTableText"/>
              <w:keepNext/>
              <w:contextualSpacing/>
              <w:rPr>
                <w:b/>
              </w:rPr>
            </w:pPr>
            <w:r>
              <w:rPr>
                <w:b/>
              </w:rPr>
              <w:t>PIHP Corrective Action Plan</w:t>
            </w:r>
          </w:p>
        </w:tc>
      </w:tr>
      <w:tr w:rsidR="009075F9" w:rsidRPr="00984D92" w14:paraId="3F95B795"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0E35C365" w14:textId="005B60E7" w:rsidR="009075F9" w:rsidRPr="00984D92" w:rsidRDefault="009075F9" w:rsidP="009075F9">
            <w:pPr>
              <w:pStyle w:val="HSAGTableText"/>
              <w:contextualSpacing/>
              <w:rPr>
                <w:bCs/>
              </w:rPr>
            </w:pPr>
            <w:r>
              <w:rPr>
                <w:b/>
              </w:rPr>
              <w:t>Root Cause Analysis:</w:t>
            </w:r>
            <w:r w:rsidRPr="003F5489">
              <w:rPr>
                <w:bCs/>
              </w:rPr>
              <w:t xml:space="preserve"> </w:t>
            </w:r>
            <w:r w:rsidR="004F53FC">
              <w:rPr>
                <w:bCs/>
              </w:rPr>
              <w:t>Lack of updates by responsible staff.</w:t>
            </w:r>
          </w:p>
        </w:tc>
      </w:tr>
      <w:tr w:rsidR="009075F9" w:rsidRPr="00FC2C0F" w14:paraId="2D82C170"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6DB0AA50" w14:textId="73A20A44" w:rsidR="009075F9" w:rsidRPr="00FC2C0F" w:rsidRDefault="009075F9" w:rsidP="009075F9">
            <w:pPr>
              <w:pStyle w:val="HSAGTableText"/>
              <w:contextualSpacing/>
              <w:rPr>
                <w:bCs/>
              </w:rPr>
            </w:pPr>
            <w:r>
              <w:rPr>
                <w:b/>
              </w:rPr>
              <w:t>PIHP Remediation Plan</w:t>
            </w:r>
            <w:r w:rsidRPr="00B30934">
              <w:rPr>
                <w:b/>
              </w:rPr>
              <w:t>:</w:t>
            </w:r>
            <w:r>
              <w:rPr>
                <w:bCs/>
              </w:rPr>
              <w:t xml:space="preserve"> </w:t>
            </w:r>
            <w:r w:rsidR="004F53FC">
              <w:rPr>
                <w:bCs/>
              </w:rPr>
              <w:t xml:space="preserve">The NMRE will update the Grievance and Appeals Policy and Procedure to include the identified and required language. The NMRE will ensure that all NMRE materials are updated, as well as all </w:t>
            </w:r>
            <w:proofErr w:type="gramStart"/>
            <w:r w:rsidR="004F53FC">
              <w:rPr>
                <w:bCs/>
              </w:rPr>
              <w:t>provider</w:t>
            </w:r>
            <w:proofErr w:type="gramEnd"/>
            <w:r w:rsidR="004F53FC">
              <w:rPr>
                <w:bCs/>
              </w:rPr>
              <w:t xml:space="preserve"> documentation.</w:t>
            </w:r>
          </w:p>
        </w:tc>
      </w:tr>
      <w:tr w:rsidR="004F53FC" w:rsidRPr="00FC2C0F" w14:paraId="1E67EC19"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0C43C1A1" w14:textId="5C9CBA37" w:rsidR="004F53FC" w:rsidRPr="00FC2C0F" w:rsidRDefault="004F53FC" w:rsidP="004F53FC">
            <w:pPr>
              <w:pStyle w:val="HSAGTableText"/>
              <w:contextualSpacing/>
              <w:rPr>
                <w:bCs/>
              </w:rPr>
            </w:pPr>
            <w:r w:rsidRPr="00B30934">
              <w:rPr>
                <w:b/>
              </w:rPr>
              <w:t>Responsible Individual(s):</w:t>
            </w:r>
            <w:r>
              <w:rPr>
                <w:bCs/>
              </w:rPr>
              <w:t xml:space="preserve"> Brie Molaison, NMRE Compliance and Customer Services Officer</w:t>
            </w:r>
          </w:p>
        </w:tc>
      </w:tr>
      <w:tr w:rsidR="004F53FC" w:rsidRPr="00FC2C0F" w14:paraId="0DBF36EB"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auto"/>
            </w:tcBorders>
          </w:tcPr>
          <w:p w14:paraId="13D92DD0" w14:textId="4657A6AF" w:rsidR="004F53FC" w:rsidRPr="00FC2C0F" w:rsidRDefault="004F53FC" w:rsidP="004F53FC">
            <w:pPr>
              <w:pStyle w:val="HSAGTableText"/>
              <w:contextualSpacing/>
              <w:rPr>
                <w:bCs/>
              </w:rPr>
            </w:pPr>
            <w:r w:rsidRPr="00B30934">
              <w:rPr>
                <w:b/>
              </w:rPr>
              <w:t>Timeline:</w:t>
            </w:r>
            <w:r>
              <w:rPr>
                <w:bCs/>
              </w:rPr>
              <w:t xml:space="preserve"> March 2026</w:t>
            </w:r>
          </w:p>
        </w:tc>
      </w:tr>
      <w:tr w:rsidR="009075F9" w14:paraId="43E51699" w14:textId="77777777" w:rsidTr="004E3199">
        <w:tblPrEx>
          <w:tblCellMar>
            <w:left w:w="108" w:type="dxa"/>
            <w:right w:w="108" w:type="dxa"/>
          </w:tblCellMar>
        </w:tblPrEx>
        <w:trPr>
          <w:trHeight w:val="374"/>
          <w:jc w:val="center"/>
        </w:trPr>
        <w:tc>
          <w:tcPr>
            <w:tcW w:w="10432" w:type="dxa"/>
            <w:gridSpan w:val="3"/>
            <w:tcBorders>
              <w:top w:val="single" w:sz="4" w:space="0" w:color="auto"/>
              <w:bottom w:val="single" w:sz="18" w:space="0" w:color="00549E" w:themeColor="text2"/>
            </w:tcBorders>
            <w:shd w:val="clear" w:color="auto" w:fill="F2F2F2" w:themeFill="background1" w:themeFillShade="F2"/>
          </w:tcPr>
          <w:p w14:paraId="7BAA8B3E" w14:textId="4EB50F21" w:rsidR="009075F9" w:rsidRPr="00FC2C0F" w:rsidRDefault="009075F9" w:rsidP="009075F9">
            <w:pPr>
              <w:pStyle w:val="HSAGTableText"/>
              <w:contextualSpacing/>
              <w:rPr>
                <w:bCs/>
              </w:rPr>
            </w:pPr>
            <w:r>
              <w:rPr>
                <w:b/>
              </w:rPr>
              <w:t>MDHHS/HSAG Response:</w:t>
            </w:r>
            <w:r>
              <w:rPr>
                <w:bCs/>
              </w:rPr>
              <w:t xml:space="preserve"> </w:t>
            </w:r>
            <w:r w:rsidR="0064133B" w:rsidRPr="0064133B">
              <w:rPr>
                <w:bCs/>
              </w:rPr>
              <w:t xml:space="preserve">The PIHP’s remediation plan is sufficient to ensure compliance with the requirements for this program area. While no additional information is required to be submitted at this time, the PIHP must proceed with </w:t>
            </w:r>
            <w:proofErr w:type="gramStart"/>
            <w:r w:rsidR="0064133B" w:rsidRPr="0064133B">
              <w:rPr>
                <w:bCs/>
              </w:rPr>
              <w:t>timely</w:t>
            </w:r>
            <w:proofErr w:type="gramEnd"/>
            <w:r w:rsidR="0064133B" w:rsidRPr="0064133B">
              <w:rPr>
                <w:bCs/>
              </w:rPr>
              <w:t xml:space="preserve"> implementation of its action plans. Please note, an </w:t>
            </w:r>
            <w:r w:rsidR="0064133B" w:rsidRPr="0064133B">
              <w:rPr>
                <w:bCs/>
                <w:i/>
                <w:iCs/>
              </w:rPr>
              <w:t xml:space="preserve">Accepted </w:t>
            </w:r>
            <w:r w:rsidR="0064133B" w:rsidRPr="0064133B">
              <w:rPr>
                <w:bCs/>
              </w:rPr>
              <w:t>designation is not a guarantee of future compliance. Implementation of the PIHP’s action plans and demonstration of compliance will be assessed during future compliance review activities.</w:t>
            </w:r>
          </w:p>
        </w:tc>
        <w:tc>
          <w:tcPr>
            <w:tcW w:w="3579" w:type="dxa"/>
            <w:gridSpan w:val="2"/>
            <w:tcBorders>
              <w:top w:val="single" w:sz="4" w:space="0" w:color="auto"/>
              <w:bottom w:val="single" w:sz="18" w:space="0" w:color="00549E" w:themeColor="text2"/>
            </w:tcBorders>
            <w:shd w:val="clear" w:color="auto" w:fill="F2F2F2" w:themeFill="background1" w:themeFillShade="F2"/>
          </w:tcPr>
          <w:p w14:paraId="58ACBA5D" w14:textId="2BB851A0" w:rsidR="009075F9" w:rsidRPr="00C123EE" w:rsidRDefault="00000000" w:rsidP="009075F9">
            <w:pPr>
              <w:pStyle w:val="HSAGTableText"/>
              <w:contextualSpacing/>
              <w:rPr>
                <w:bCs/>
              </w:rPr>
            </w:pPr>
            <w:sdt>
              <w:sdtPr>
                <w:rPr>
                  <w:bCs/>
                </w:rPr>
                <w:id w:val="-1181814365"/>
                <w14:checkbox>
                  <w14:checked w14:val="1"/>
                  <w14:checkedState w14:val="2612" w14:font="MS Gothic"/>
                  <w14:uncheckedState w14:val="2610" w14:font="MS Gothic"/>
                </w14:checkbox>
              </w:sdtPr>
              <w:sdtContent>
                <w:r w:rsidR="00C76AB3">
                  <w:rPr>
                    <w:rFonts w:ascii="MS Gothic" w:eastAsia="MS Gothic" w:hAnsi="MS Gothic" w:hint="eastAsia"/>
                    <w:bCs/>
                  </w:rPr>
                  <w:t>☒</w:t>
                </w:r>
              </w:sdtContent>
            </w:sdt>
            <w:r w:rsidR="009075F9" w:rsidRPr="00C123EE">
              <w:rPr>
                <w:bCs/>
              </w:rPr>
              <w:t xml:space="preserve"> Accepted</w:t>
            </w:r>
          </w:p>
          <w:p w14:paraId="757670E7" w14:textId="1E0FE481" w:rsidR="009075F9" w:rsidRPr="00C123EE" w:rsidRDefault="00000000" w:rsidP="009075F9">
            <w:pPr>
              <w:pStyle w:val="HSAGTableText"/>
              <w:contextualSpacing/>
              <w:rPr>
                <w:bCs/>
              </w:rPr>
            </w:pPr>
            <w:sdt>
              <w:sdtPr>
                <w:rPr>
                  <w:bCs/>
                </w:rPr>
                <w:id w:val="1549184715"/>
                <w14:checkbox>
                  <w14:checked w14:val="0"/>
                  <w14:checkedState w14:val="2612" w14:font="MS Gothic"/>
                  <w14:uncheckedState w14:val="2610" w14:font="MS Gothic"/>
                </w14:checkbox>
              </w:sdtPr>
              <w:sdtContent>
                <w:r w:rsidR="00C76AB3">
                  <w:rPr>
                    <w:rFonts w:ascii="MS Gothic" w:eastAsia="MS Gothic" w:hAnsi="MS Gothic" w:hint="eastAsia"/>
                    <w:bCs/>
                  </w:rPr>
                  <w:t>☐</w:t>
                </w:r>
              </w:sdtContent>
            </w:sdt>
            <w:r w:rsidR="009075F9" w:rsidRPr="00C123EE">
              <w:rPr>
                <w:bCs/>
              </w:rPr>
              <w:t xml:space="preserve"> Accepted </w:t>
            </w:r>
            <w:r w:rsidR="009075F9">
              <w:rPr>
                <w:bCs/>
              </w:rPr>
              <w:t>W</w:t>
            </w:r>
            <w:r w:rsidR="009075F9" w:rsidRPr="00C123EE">
              <w:rPr>
                <w:bCs/>
              </w:rPr>
              <w:t>ith Recommendations</w:t>
            </w:r>
          </w:p>
          <w:p w14:paraId="5BD63611" w14:textId="77777777" w:rsidR="009075F9" w:rsidRDefault="00000000" w:rsidP="009075F9">
            <w:pPr>
              <w:pStyle w:val="HSAGTableText"/>
              <w:contextualSpacing/>
              <w:rPr>
                <w:b/>
              </w:rPr>
            </w:pPr>
            <w:sdt>
              <w:sdtPr>
                <w:rPr>
                  <w:bCs/>
                </w:rPr>
                <w:id w:val="369040595"/>
                <w14:checkbox>
                  <w14:checked w14:val="0"/>
                  <w14:checkedState w14:val="2612" w14:font="MS Gothic"/>
                  <w14:uncheckedState w14:val="2610" w14:font="MS Gothic"/>
                </w14:checkbox>
              </w:sdtPr>
              <w:sdtContent>
                <w:r w:rsidR="009075F9" w:rsidRPr="00C123EE">
                  <w:rPr>
                    <w:rFonts w:ascii="MS Gothic" w:eastAsia="MS Gothic" w:hAnsi="MS Gothic" w:hint="eastAsia"/>
                    <w:bCs/>
                  </w:rPr>
                  <w:t>☐</w:t>
                </w:r>
              </w:sdtContent>
            </w:sdt>
            <w:r w:rsidR="009075F9" w:rsidRPr="00C123EE">
              <w:rPr>
                <w:bCs/>
              </w:rPr>
              <w:t xml:space="preserve"> Not Accepted</w:t>
            </w:r>
          </w:p>
        </w:tc>
      </w:tr>
      <w:tr w:rsidR="009075F9" w:rsidRPr="00903F99" w14:paraId="013AD57B" w14:textId="77777777" w:rsidTr="004E3199">
        <w:trPr>
          <w:trHeight w:val="374"/>
          <w:jc w:val="center"/>
        </w:trPr>
        <w:tc>
          <w:tcPr>
            <w:tcW w:w="6471" w:type="dxa"/>
            <w:gridSpan w:val="2"/>
            <w:vMerge w:val="restart"/>
          </w:tcPr>
          <w:p w14:paraId="35371CC8" w14:textId="77777777" w:rsidR="009075F9" w:rsidRPr="001408D5" w:rsidRDefault="009075F9" w:rsidP="009075F9">
            <w:pPr>
              <w:pStyle w:val="ListNoNum"/>
              <w:keepNext/>
              <w:rPr>
                <w:rFonts w:eastAsiaTheme="minorHAnsi"/>
                <w:sz w:val="18"/>
                <w:szCs w:val="18"/>
              </w:rPr>
            </w:pPr>
            <w:r w:rsidRPr="001408D5">
              <w:rPr>
                <w:spacing w:val="-4"/>
              </w:rPr>
              <w:lastRenderedPageBreak/>
              <w:t>23.</w:t>
            </w:r>
            <w:r w:rsidRPr="001408D5">
              <w:rPr>
                <w:spacing w:val="-4"/>
              </w:rPr>
              <w:tab/>
            </w:r>
            <w:r w:rsidRPr="001408D5">
              <w:rPr>
                <w:rFonts w:eastAsiaTheme="minorHAnsi"/>
              </w:rPr>
              <w:t>The PIHP may extend the standard or expedited appeal resolution time frames by up to 14 calendar days if:</w:t>
            </w:r>
          </w:p>
          <w:p w14:paraId="1E57E3D3" w14:textId="77777777" w:rsidR="009075F9" w:rsidRPr="001408D5" w:rsidRDefault="009075F9" w:rsidP="009075F9">
            <w:pPr>
              <w:pStyle w:val="ListNoNum2"/>
              <w:rPr>
                <w:rFonts w:eastAsiaTheme="minorHAnsi"/>
                <w:sz w:val="18"/>
                <w:szCs w:val="18"/>
              </w:rPr>
            </w:pPr>
            <w:r w:rsidRPr="001408D5">
              <w:t>a</w:t>
            </w:r>
            <w:proofErr w:type="gramStart"/>
            <w:r w:rsidRPr="001408D5">
              <w:t xml:space="preserve">. </w:t>
            </w:r>
            <w:r w:rsidRPr="001408D5">
              <w:tab/>
            </w:r>
            <w:r w:rsidRPr="001408D5">
              <w:rPr>
                <w:rFonts w:eastAsiaTheme="minorHAnsi"/>
              </w:rPr>
              <w:t>The</w:t>
            </w:r>
            <w:proofErr w:type="gramEnd"/>
            <w:r w:rsidRPr="001408D5">
              <w:rPr>
                <w:rFonts w:eastAsiaTheme="minorHAnsi"/>
              </w:rPr>
              <w:t xml:space="preserve"> member requests the extension; or </w:t>
            </w:r>
          </w:p>
          <w:p w14:paraId="2CCBCDDA" w14:textId="77777777" w:rsidR="009075F9" w:rsidRPr="001408D5" w:rsidRDefault="009075F9" w:rsidP="009075F9">
            <w:pPr>
              <w:pStyle w:val="ListNoNum2"/>
              <w:rPr>
                <w:rFonts w:eastAsiaTheme="minorHAnsi"/>
                <w:sz w:val="18"/>
                <w:szCs w:val="18"/>
              </w:rPr>
            </w:pPr>
            <w:r w:rsidRPr="001408D5">
              <w:t>b</w:t>
            </w:r>
            <w:proofErr w:type="gramStart"/>
            <w:r w:rsidRPr="001408D5">
              <w:t xml:space="preserve">. </w:t>
            </w:r>
            <w:r w:rsidRPr="001408D5">
              <w:tab/>
            </w:r>
            <w:r w:rsidRPr="001408D5">
              <w:rPr>
                <w:rFonts w:eastAsiaTheme="minorHAnsi"/>
              </w:rPr>
              <w:t>The</w:t>
            </w:r>
            <w:proofErr w:type="gramEnd"/>
            <w:r w:rsidRPr="001408D5">
              <w:rPr>
                <w:rFonts w:eastAsiaTheme="minorHAnsi"/>
              </w:rPr>
              <w:t xml:space="preserve"> PIHP shows (to the satisfaction of the MDHHS agency, upon its request) that there is </w:t>
            </w:r>
            <w:proofErr w:type="gramStart"/>
            <w:r w:rsidRPr="001408D5">
              <w:rPr>
                <w:rFonts w:eastAsiaTheme="minorHAnsi"/>
              </w:rPr>
              <w:t>need</w:t>
            </w:r>
            <w:proofErr w:type="gramEnd"/>
            <w:r w:rsidRPr="001408D5">
              <w:rPr>
                <w:rFonts w:eastAsiaTheme="minorHAnsi"/>
              </w:rPr>
              <w:t xml:space="preserve"> for additional information and how the delay is in the member’s interest.</w:t>
            </w:r>
          </w:p>
          <w:p w14:paraId="21A4E084" w14:textId="77777777" w:rsidR="009075F9" w:rsidRPr="001408D5" w:rsidRDefault="009075F9" w:rsidP="009075F9">
            <w:pPr>
              <w:pStyle w:val="HSAGTableContracttext"/>
            </w:pPr>
          </w:p>
          <w:p w14:paraId="4D45E3E5" w14:textId="77777777" w:rsidR="009075F9" w:rsidRPr="001408D5" w:rsidRDefault="009075F9" w:rsidP="009075F9">
            <w:pPr>
              <w:pStyle w:val="HSAGTableContracttext"/>
            </w:pPr>
            <w:r w:rsidRPr="001408D5">
              <w:t>42 CFR §438.228</w:t>
            </w:r>
          </w:p>
          <w:p w14:paraId="0D44AE06" w14:textId="77777777" w:rsidR="009075F9" w:rsidRPr="001408D5" w:rsidRDefault="009075F9" w:rsidP="009075F9">
            <w:pPr>
              <w:pStyle w:val="HSAGTableContracttext"/>
            </w:pPr>
            <w:r w:rsidRPr="001408D5">
              <w:t>42 CFR §438.408(c)(1)</w:t>
            </w:r>
          </w:p>
          <w:p w14:paraId="1ED4C9E3" w14:textId="77777777" w:rsidR="009075F9" w:rsidRPr="001408D5" w:rsidRDefault="009075F9" w:rsidP="009075F9">
            <w:pPr>
              <w:pStyle w:val="HSAGTableContracttext"/>
            </w:pPr>
            <w:r w:rsidRPr="001408D5">
              <w:t>42 CFR §457.1260(e)(1)</w:t>
            </w:r>
          </w:p>
          <w:p w14:paraId="6451DBA9" w14:textId="77777777" w:rsidR="009075F9" w:rsidRPr="001408D5" w:rsidRDefault="009075F9" w:rsidP="009075F9">
            <w:pPr>
              <w:pStyle w:val="HSAGTableContracttext"/>
            </w:pPr>
            <w:r w:rsidRPr="001408D5">
              <w:t>Contract Schedule A—1(M)(1)(e)(iv)</w:t>
            </w:r>
          </w:p>
          <w:p w14:paraId="46A0BF0D" w14:textId="3364C633" w:rsidR="009075F9" w:rsidRPr="00903F99" w:rsidRDefault="009075F9" w:rsidP="009075F9">
            <w:pPr>
              <w:pStyle w:val="HSAGTableContracttext"/>
              <w:keepNext/>
              <w:spacing w:before="0" w:after="0"/>
              <w:ind w:left="1440"/>
              <w:contextualSpacing/>
              <w:rPr>
                <w:i/>
                <w:szCs w:val="18"/>
              </w:rPr>
            </w:pPr>
            <w:r w:rsidRPr="001408D5">
              <w:t>Appeal and Grievance Resolution Processes Technical Requirement—VII(C)(3)</w:t>
            </w:r>
          </w:p>
        </w:tc>
        <w:tc>
          <w:tcPr>
            <w:tcW w:w="6114" w:type="dxa"/>
            <w:gridSpan w:val="2"/>
            <w:shd w:val="clear" w:color="auto" w:fill="FFFFFF" w:themeFill="background1"/>
          </w:tcPr>
          <w:p w14:paraId="3C146A45" w14:textId="77777777" w:rsidR="009075F9" w:rsidRPr="001408D5" w:rsidRDefault="009075F9" w:rsidP="009075F9">
            <w:pPr>
              <w:pStyle w:val="HSAGTableText"/>
              <w:contextualSpacing/>
              <w:rPr>
                <w:b/>
                <w:bCs/>
              </w:rPr>
            </w:pPr>
            <w:r w:rsidRPr="001408D5">
              <w:rPr>
                <w:b/>
                <w:bCs/>
              </w:rPr>
              <w:t>HSAG Required Evidence:</w:t>
            </w:r>
          </w:p>
          <w:p w14:paraId="763DA770" w14:textId="77777777" w:rsidR="009075F9" w:rsidRPr="001408D5" w:rsidRDefault="009075F9" w:rsidP="00595A8D">
            <w:pPr>
              <w:pStyle w:val="HSAGTableText"/>
              <w:numPr>
                <w:ilvl w:val="0"/>
                <w:numId w:val="19"/>
              </w:numPr>
              <w:contextualSpacing/>
            </w:pPr>
            <w:r w:rsidRPr="001408D5">
              <w:t>Policies and procedures</w:t>
            </w:r>
          </w:p>
          <w:p w14:paraId="364D73BE" w14:textId="77777777" w:rsidR="009075F9" w:rsidRPr="001408D5" w:rsidRDefault="009075F9" w:rsidP="00595A8D">
            <w:pPr>
              <w:pStyle w:val="HSAGTableText"/>
              <w:numPr>
                <w:ilvl w:val="0"/>
                <w:numId w:val="19"/>
              </w:numPr>
              <w:contextualSpacing/>
            </w:pPr>
            <w:r w:rsidRPr="001408D5">
              <w:t>Tracking and reporting mechanisms</w:t>
            </w:r>
          </w:p>
          <w:p w14:paraId="545E03D5" w14:textId="77777777" w:rsidR="009075F9" w:rsidRPr="001408D5" w:rsidRDefault="009075F9" w:rsidP="00595A8D">
            <w:pPr>
              <w:pStyle w:val="HSAGTableText"/>
              <w:numPr>
                <w:ilvl w:val="0"/>
                <w:numId w:val="19"/>
              </w:numPr>
              <w:contextualSpacing/>
            </w:pPr>
            <w:r w:rsidRPr="001408D5">
              <w:t>System screenshot of the field where the date and time of receipt of the appeal is documented</w:t>
            </w:r>
          </w:p>
          <w:p w14:paraId="35C5EAFB" w14:textId="77777777" w:rsidR="009075F9" w:rsidRPr="001408D5" w:rsidRDefault="009075F9" w:rsidP="00595A8D">
            <w:pPr>
              <w:pStyle w:val="HSAGTableText"/>
              <w:numPr>
                <w:ilvl w:val="0"/>
                <w:numId w:val="19"/>
              </w:numPr>
              <w:contextualSpacing/>
            </w:pPr>
            <w:r w:rsidRPr="001408D5">
              <w:t>System screenshot of the field documenting that an extension was applied</w:t>
            </w:r>
          </w:p>
          <w:p w14:paraId="04D4688B" w14:textId="77777777" w:rsidR="009075F9" w:rsidRPr="001408D5" w:rsidRDefault="009075F9" w:rsidP="00595A8D">
            <w:pPr>
              <w:pStyle w:val="HSAGTableText"/>
              <w:numPr>
                <w:ilvl w:val="0"/>
                <w:numId w:val="19"/>
              </w:numPr>
              <w:contextualSpacing/>
            </w:pPr>
            <w:r w:rsidRPr="001408D5">
              <w:t>System screenshot of the field where the date the extension was applied is documented</w:t>
            </w:r>
          </w:p>
          <w:p w14:paraId="63BB494D" w14:textId="77777777" w:rsidR="009075F9" w:rsidRPr="001408D5" w:rsidRDefault="009075F9" w:rsidP="00595A8D">
            <w:pPr>
              <w:pStyle w:val="HSAGTableText"/>
              <w:numPr>
                <w:ilvl w:val="0"/>
                <w:numId w:val="19"/>
              </w:numPr>
              <w:contextualSpacing/>
            </w:pPr>
            <w:r w:rsidRPr="001408D5">
              <w:t>System screenshot of the field where the reason for the extension is documented</w:t>
            </w:r>
          </w:p>
          <w:p w14:paraId="22F800A4" w14:textId="77777777" w:rsidR="009075F9" w:rsidRPr="00607642" w:rsidRDefault="009075F9" w:rsidP="00595A8D">
            <w:pPr>
              <w:pStyle w:val="HSAGTableText"/>
              <w:numPr>
                <w:ilvl w:val="0"/>
                <w:numId w:val="19"/>
              </w:numPr>
              <w:contextualSpacing/>
            </w:pPr>
            <w:r w:rsidRPr="001408D5">
              <w:t>Three examples of appeals with an extension applied, includ</w:t>
            </w:r>
            <w:r w:rsidRPr="00607642">
              <w:t>ing the date of receipt of the appeal and the date of the extension</w:t>
            </w:r>
          </w:p>
          <w:p w14:paraId="05514DA9" w14:textId="77777777" w:rsidR="009075F9" w:rsidRPr="00AB57CA" w:rsidRDefault="009075F9" w:rsidP="00595A8D">
            <w:pPr>
              <w:pStyle w:val="ListParagraph"/>
              <w:numPr>
                <w:ilvl w:val="0"/>
                <w:numId w:val="19"/>
              </w:numPr>
              <w:rPr>
                <w:rFonts w:eastAsiaTheme="minorHAnsi"/>
                <w:color w:val="000000" w:themeColor="text1"/>
                <w:sz w:val="22"/>
                <w:szCs w:val="20"/>
              </w:rPr>
            </w:pPr>
            <w:r w:rsidRPr="00AB57CA">
              <w:rPr>
                <w:rFonts w:eastAsiaTheme="minorHAnsi"/>
                <w:color w:val="000000" w:themeColor="text1"/>
                <w:sz w:val="22"/>
                <w:szCs w:val="20"/>
              </w:rPr>
              <w:t>HSAG will also use data reported on the appeal universe file/MDHHS reporting template</w:t>
            </w:r>
          </w:p>
          <w:p w14:paraId="1FCE3CE7" w14:textId="76A7255D" w:rsidR="009075F9" w:rsidRPr="00AB57CA" w:rsidRDefault="009075F9" w:rsidP="00595A8D">
            <w:pPr>
              <w:pStyle w:val="ListParagraph"/>
              <w:numPr>
                <w:ilvl w:val="0"/>
                <w:numId w:val="19"/>
              </w:numPr>
              <w:rPr>
                <w:color w:val="000000" w:themeColor="text1"/>
                <w:szCs w:val="20"/>
              </w:rPr>
            </w:pPr>
            <w:r w:rsidRPr="00AB57CA">
              <w:rPr>
                <w:rFonts w:eastAsiaTheme="minorHAnsi"/>
                <w:color w:val="000000" w:themeColor="text1"/>
                <w:sz w:val="22"/>
                <w:szCs w:val="20"/>
              </w:rPr>
              <w:t>HSAG will also use the results of the Appeal File Review</w:t>
            </w:r>
          </w:p>
        </w:tc>
        <w:tc>
          <w:tcPr>
            <w:tcW w:w="1426" w:type="dxa"/>
            <w:vMerge w:val="restart"/>
            <w:shd w:val="clear" w:color="auto" w:fill="FFFFFF" w:themeFill="background1"/>
          </w:tcPr>
          <w:p w14:paraId="6F22E824" w14:textId="77777777" w:rsidR="009075F9" w:rsidRPr="001408D5" w:rsidRDefault="009075F9" w:rsidP="009075F9">
            <w:pPr>
              <w:spacing w:before="60" w:after="0"/>
              <w:contextualSpacing/>
              <w:rPr>
                <w:sz w:val="22"/>
              </w:rPr>
            </w:pPr>
            <w:r w:rsidRPr="001408D5">
              <w:rPr>
                <w:rFonts w:ascii="MS Gothic" w:eastAsia="MS Gothic" w:hAnsi="MS Gothic" w:hint="eastAsia"/>
                <w:sz w:val="22"/>
              </w:rPr>
              <w:t>☐</w:t>
            </w:r>
            <w:r w:rsidRPr="001408D5">
              <w:rPr>
                <w:sz w:val="22"/>
              </w:rPr>
              <w:t xml:space="preserve"> Met</w:t>
            </w:r>
          </w:p>
          <w:p w14:paraId="293097DA" w14:textId="77777777" w:rsidR="009075F9" w:rsidRPr="001408D5" w:rsidRDefault="00000000" w:rsidP="009075F9">
            <w:pPr>
              <w:spacing w:before="60" w:after="0"/>
              <w:contextualSpacing/>
              <w:rPr>
                <w:sz w:val="22"/>
              </w:rPr>
            </w:pPr>
            <w:sdt>
              <w:sdtPr>
                <w:rPr>
                  <w:rFonts w:ascii="MS Gothic" w:eastAsia="MS Gothic" w:hAnsi="MS Gothic" w:hint="eastAsia"/>
                  <w:sz w:val="22"/>
                </w:rPr>
                <w:id w:val="1300960100"/>
                <w14:checkbox>
                  <w14:checked w14:val="1"/>
                  <w14:checkedState w14:val="2612" w14:font="MS Gothic"/>
                  <w14:uncheckedState w14:val="2610" w14:font="MS Gothic"/>
                </w14:checkbox>
              </w:sdtPr>
              <w:sdtContent>
                <w:r w:rsidR="009075F9" w:rsidRPr="001408D5">
                  <w:rPr>
                    <w:rFonts w:ascii="MS Gothic" w:eastAsia="MS Gothic" w:hAnsi="MS Gothic" w:hint="eastAsia"/>
                    <w:sz w:val="22"/>
                  </w:rPr>
                  <w:t>☒</w:t>
                </w:r>
              </w:sdtContent>
            </w:sdt>
            <w:r w:rsidR="009075F9" w:rsidRPr="001408D5">
              <w:rPr>
                <w:sz w:val="22"/>
              </w:rPr>
              <w:t xml:space="preserve"> Not Met</w:t>
            </w:r>
          </w:p>
          <w:p w14:paraId="483E59E4" w14:textId="77777777" w:rsidR="009075F9" w:rsidRPr="001408D5" w:rsidRDefault="009075F9" w:rsidP="009075F9">
            <w:pPr>
              <w:spacing w:before="60" w:after="0"/>
              <w:contextualSpacing/>
              <w:rPr>
                <w:sz w:val="22"/>
              </w:rPr>
            </w:pPr>
            <w:r w:rsidRPr="001408D5">
              <w:rPr>
                <w:rFonts w:ascii="MS Gothic" w:eastAsia="MS Gothic" w:hAnsi="MS Gothic" w:hint="eastAsia"/>
                <w:sz w:val="22"/>
              </w:rPr>
              <w:t>☐</w:t>
            </w:r>
            <w:r w:rsidRPr="001408D5">
              <w:rPr>
                <w:sz w:val="22"/>
              </w:rPr>
              <w:t xml:space="preserve"> NA</w:t>
            </w:r>
          </w:p>
          <w:p w14:paraId="460321F7" w14:textId="77777777" w:rsidR="009075F9" w:rsidRPr="00903F99" w:rsidRDefault="009075F9" w:rsidP="009075F9">
            <w:pPr>
              <w:spacing w:before="0" w:after="0"/>
              <w:contextualSpacing/>
              <w:rPr>
                <w:sz w:val="22"/>
              </w:rPr>
            </w:pPr>
          </w:p>
        </w:tc>
      </w:tr>
      <w:tr w:rsidR="009075F9" w:rsidRPr="00903F99" w14:paraId="59901503" w14:textId="77777777" w:rsidTr="004E3199">
        <w:trPr>
          <w:trHeight w:val="374"/>
          <w:jc w:val="center"/>
        </w:trPr>
        <w:tc>
          <w:tcPr>
            <w:tcW w:w="6471" w:type="dxa"/>
            <w:gridSpan w:val="2"/>
            <w:vMerge/>
          </w:tcPr>
          <w:p w14:paraId="491C6D81" w14:textId="77777777" w:rsidR="009075F9" w:rsidRPr="00903F99" w:rsidRDefault="009075F9" w:rsidP="00595A8D">
            <w:pPr>
              <w:pStyle w:val="HSAGNumbers"/>
              <w:numPr>
                <w:ilvl w:val="0"/>
                <w:numId w:val="16"/>
              </w:numPr>
              <w:spacing w:before="0" w:after="0"/>
              <w:contextualSpacing/>
            </w:pPr>
          </w:p>
        </w:tc>
        <w:tc>
          <w:tcPr>
            <w:tcW w:w="6114" w:type="dxa"/>
            <w:gridSpan w:val="2"/>
            <w:shd w:val="clear" w:color="auto" w:fill="FFFFFF" w:themeFill="background1"/>
          </w:tcPr>
          <w:p w14:paraId="1B0B558C" w14:textId="77777777" w:rsidR="009075F9" w:rsidRPr="001408D5" w:rsidRDefault="009075F9" w:rsidP="009075F9">
            <w:pPr>
              <w:pStyle w:val="HSAGTableText"/>
              <w:contextualSpacing/>
              <w:rPr>
                <w:b/>
                <w:bCs/>
              </w:rPr>
            </w:pPr>
            <w:r w:rsidRPr="001408D5">
              <w:rPr>
                <w:b/>
                <w:bCs/>
              </w:rPr>
              <w:t>Evidence as Submitted by the PIHP:</w:t>
            </w:r>
          </w:p>
          <w:p w14:paraId="1CDDADE9" w14:textId="77777777" w:rsidR="009075F9" w:rsidRPr="001408D5" w:rsidRDefault="009075F9" w:rsidP="00595A8D">
            <w:pPr>
              <w:pStyle w:val="HSAGTableText"/>
              <w:numPr>
                <w:ilvl w:val="0"/>
                <w:numId w:val="32"/>
              </w:numPr>
              <w:contextualSpacing/>
            </w:pPr>
            <w:r w:rsidRPr="001408D5">
              <w:t>S9_E23_Date of Appeal Receipt</w:t>
            </w:r>
          </w:p>
          <w:p w14:paraId="7F657325" w14:textId="77777777" w:rsidR="009075F9" w:rsidRPr="001408D5" w:rsidRDefault="009075F9" w:rsidP="00595A8D">
            <w:pPr>
              <w:pStyle w:val="HSAGTableText"/>
              <w:numPr>
                <w:ilvl w:val="0"/>
                <w:numId w:val="32"/>
              </w:numPr>
              <w:contextualSpacing/>
            </w:pPr>
            <w:r w:rsidRPr="001408D5">
              <w:t>S9_E23_E24_Letter 1 - Appeal Ext.</w:t>
            </w:r>
          </w:p>
          <w:p w14:paraId="71FF58C9" w14:textId="77777777" w:rsidR="009075F9" w:rsidRPr="001408D5" w:rsidRDefault="009075F9" w:rsidP="00595A8D">
            <w:pPr>
              <w:pStyle w:val="HSAGTableText"/>
              <w:numPr>
                <w:ilvl w:val="0"/>
                <w:numId w:val="32"/>
              </w:numPr>
              <w:contextualSpacing/>
            </w:pPr>
            <w:r w:rsidRPr="001408D5">
              <w:t>S9_E23_E24_Letter 2 - Appeal - Ext.</w:t>
            </w:r>
          </w:p>
          <w:p w14:paraId="6BFE0B15" w14:textId="77777777" w:rsidR="009075F9" w:rsidRPr="001408D5" w:rsidRDefault="009075F9" w:rsidP="00595A8D">
            <w:pPr>
              <w:pStyle w:val="HSAGTableText"/>
              <w:numPr>
                <w:ilvl w:val="0"/>
                <w:numId w:val="32"/>
              </w:numPr>
              <w:contextualSpacing/>
            </w:pPr>
            <w:r w:rsidRPr="001408D5">
              <w:t>S9_E23_E24_NOD - Appeal Ext.</w:t>
            </w:r>
          </w:p>
          <w:p w14:paraId="0BFC0C68" w14:textId="77777777" w:rsidR="009075F9" w:rsidRPr="001408D5" w:rsidRDefault="009075F9" w:rsidP="00595A8D">
            <w:pPr>
              <w:pStyle w:val="HSAGTableText"/>
              <w:numPr>
                <w:ilvl w:val="0"/>
                <w:numId w:val="32"/>
              </w:numPr>
              <w:contextualSpacing/>
            </w:pPr>
            <w:r w:rsidRPr="001408D5">
              <w:t>S9_E23_E24_NOE - Appeal - Ext.</w:t>
            </w:r>
          </w:p>
          <w:p w14:paraId="5F74BB49" w14:textId="77777777" w:rsidR="009075F9" w:rsidRPr="001408D5" w:rsidRDefault="009075F9" w:rsidP="00595A8D">
            <w:pPr>
              <w:pStyle w:val="HSAGTableText"/>
              <w:numPr>
                <w:ilvl w:val="0"/>
                <w:numId w:val="32"/>
              </w:numPr>
              <w:contextualSpacing/>
            </w:pPr>
            <w:r w:rsidRPr="001408D5">
              <w:t>S9_E23_E24_NOR - Appeal Ext.</w:t>
            </w:r>
          </w:p>
          <w:p w14:paraId="1C41C0A1" w14:textId="77777777" w:rsidR="009075F9" w:rsidRPr="001408D5" w:rsidRDefault="009075F9" w:rsidP="00595A8D">
            <w:pPr>
              <w:pStyle w:val="HSAGTableText"/>
              <w:numPr>
                <w:ilvl w:val="0"/>
                <w:numId w:val="32"/>
              </w:numPr>
              <w:contextualSpacing/>
            </w:pPr>
            <w:r w:rsidRPr="001408D5">
              <w:t>S9_E23_Screenshot_Extension Information</w:t>
            </w:r>
          </w:p>
          <w:p w14:paraId="2187A38D" w14:textId="77777777" w:rsidR="009075F9" w:rsidRPr="001408D5" w:rsidRDefault="009075F9" w:rsidP="00595A8D">
            <w:pPr>
              <w:pStyle w:val="HSAGTableText"/>
              <w:numPr>
                <w:ilvl w:val="0"/>
                <w:numId w:val="32"/>
              </w:numPr>
              <w:contextualSpacing/>
            </w:pPr>
            <w:r w:rsidRPr="001408D5">
              <w:t xml:space="preserve">S9_E23ab_Grievance and Appeals </w:t>
            </w:r>
            <w:proofErr w:type="spellStart"/>
            <w:r w:rsidRPr="001408D5">
              <w:t>Procedure_page</w:t>
            </w:r>
            <w:proofErr w:type="spellEnd"/>
            <w:r w:rsidRPr="001408D5">
              <w:t xml:space="preserve"> 3</w:t>
            </w:r>
          </w:p>
          <w:p w14:paraId="62A1D2F1" w14:textId="6B9A2180" w:rsidR="009075F9" w:rsidRPr="00903F99" w:rsidRDefault="009075F9" w:rsidP="009075F9">
            <w:pPr>
              <w:pStyle w:val="HSAGTableBullet1"/>
              <w:numPr>
                <w:ilvl w:val="0"/>
                <w:numId w:val="0"/>
              </w:numPr>
              <w:ind w:left="247" w:hanging="247"/>
            </w:pPr>
            <w:r w:rsidRPr="001408D5">
              <w:t>S9_13_E16_E21_E22_E23_E25_Appeal Tracking and Reporting</w:t>
            </w:r>
          </w:p>
        </w:tc>
        <w:tc>
          <w:tcPr>
            <w:tcW w:w="1426" w:type="dxa"/>
            <w:vMerge/>
            <w:shd w:val="clear" w:color="auto" w:fill="FFFFFF" w:themeFill="background1"/>
          </w:tcPr>
          <w:p w14:paraId="75264E20" w14:textId="77777777" w:rsidR="009075F9" w:rsidRPr="00903F99" w:rsidRDefault="009075F9" w:rsidP="009075F9">
            <w:pPr>
              <w:spacing w:before="0" w:after="0"/>
              <w:contextualSpacing/>
              <w:rPr>
                <w:sz w:val="22"/>
              </w:rPr>
            </w:pPr>
          </w:p>
        </w:tc>
      </w:tr>
      <w:tr w:rsidR="009075F9" w:rsidRPr="00903F99" w14:paraId="491BE506" w14:textId="77777777" w:rsidTr="004E3199">
        <w:trPr>
          <w:trHeight w:val="374"/>
          <w:jc w:val="center"/>
        </w:trPr>
        <w:tc>
          <w:tcPr>
            <w:tcW w:w="14011" w:type="dxa"/>
            <w:gridSpan w:val="5"/>
            <w:vAlign w:val="center"/>
          </w:tcPr>
          <w:p w14:paraId="078309CE" w14:textId="13041E12" w:rsidR="009075F9" w:rsidRPr="00903F99" w:rsidRDefault="009075F9" w:rsidP="009075F9">
            <w:pPr>
              <w:pStyle w:val="HSAGTableText"/>
              <w:spacing w:before="0" w:after="0"/>
            </w:pPr>
            <w:r w:rsidRPr="001408D5">
              <w:rPr>
                <w:b/>
              </w:rPr>
              <w:t>PIHP Description of Process:</w:t>
            </w:r>
            <w:r w:rsidRPr="001408D5">
              <w:t xml:space="preserve"> At the request of the beneficiary or if the PIHP </w:t>
            </w:r>
            <w:proofErr w:type="gramStart"/>
            <w:r w:rsidRPr="001408D5">
              <w:t>is able to</w:t>
            </w:r>
            <w:proofErr w:type="gramEnd"/>
            <w:r w:rsidRPr="001408D5">
              <w:t xml:space="preserve"> satisfactorily prove that an extension is in the best interest of the beneficiary, The PIHP will provide an appeal extension of 14 days. </w:t>
            </w:r>
          </w:p>
        </w:tc>
      </w:tr>
      <w:tr w:rsidR="009075F9" w:rsidRPr="0026679F" w14:paraId="53AC5CAD" w14:textId="77777777" w:rsidTr="004E3199">
        <w:trPr>
          <w:trHeight w:val="374"/>
          <w:jc w:val="center"/>
        </w:trPr>
        <w:tc>
          <w:tcPr>
            <w:tcW w:w="14011" w:type="dxa"/>
            <w:gridSpan w:val="5"/>
            <w:tcBorders>
              <w:bottom w:val="single" w:sz="4" w:space="0" w:color="000000"/>
            </w:tcBorders>
            <w:vAlign w:val="center"/>
          </w:tcPr>
          <w:p w14:paraId="4E2DF211" w14:textId="200241AD" w:rsidR="009075F9" w:rsidRPr="0026679F" w:rsidRDefault="009075F9" w:rsidP="009075F9">
            <w:pPr>
              <w:pStyle w:val="HSAGTableText"/>
              <w:spacing w:before="0"/>
            </w:pPr>
            <w:r w:rsidRPr="001408D5">
              <w:rPr>
                <w:b/>
                <w:color w:val="auto"/>
              </w:rPr>
              <w:lastRenderedPageBreak/>
              <w:t>HSAG Findings:</w:t>
            </w:r>
            <w:r w:rsidRPr="001408D5">
              <w:rPr>
                <w:color w:val="auto"/>
              </w:rPr>
              <w:t xml:space="preserve"> The case example of an appeal extension confirmed that the appeal resolution time frame was extended; however, the appeal resolution time frame expired on June 14, 2024, but the extension did not occur until June 20, 2024. An extension must be applied prior to the expiration of the appeal resolution time frame. To complete the appeal, a member consultation with a CMHSP physician was scheduled; however, it was scheduled six days after the appeal resolution time frame had already expired. During the SFY 2022 compliance review, HSAG recommended that the PIHP conduct ongoing education to ensure staff have a complete understanding of the extension provisions. This year’s findings confirm a continued need for staff training. Further, the universe file reported no appeals with an extension; however, the case example of the appeal extension confirmed that this case was incorrectly reported as an appeal without an extension.</w:t>
            </w:r>
          </w:p>
        </w:tc>
      </w:tr>
      <w:tr w:rsidR="009075F9" w:rsidRPr="0026679F" w14:paraId="52AA3B89" w14:textId="77777777" w:rsidTr="004E3199">
        <w:trPr>
          <w:trHeight w:val="374"/>
          <w:jc w:val="center"/>
        </w:trPr>
        <w:tc>
          <w:tcPr>
            <w:tcW w:w="14011" w:type="dxa"/>
            <w:gridSpan w:val="5"/>
            <w:tcBorders>
              <w:top w:val="single" w:sz="4" w:space="0" w:color="000000"/>
              <w:bottom w:val="single" w:sz="4" w:space="0" w:color="auto"/>
            </w:tcBorders>
            <w:vAlign w:val="center"/>
          </w:tcPr>
          <w:p w14:paraId="166C4546" w14:textId="119E58FA" w:rsidR="009075F9" w:rsidRPr="0026679F" w:rsidRDefault="009075F9" w:rsidP="009075F9">
            <w:pPr>
              <w:pStyle w:val="HSAGTableText"/>
              <w:rPr>
                <w:b/>
              </w:rPr>
            </w:pPr>
            <w:r w:rsidRPr="001408D5">
              <w:rPr>
                <w:b/>
              </w:rPr>
              <w:t>Required Actions:</w:t>
            </w:r>
            <w:r w:rsidRPr="001408D5">
              <w:t xml:space="preserve"> The PIHP may extend the standard or expedited appeal resolution time frames by up to 14 calendar days if the PIHP shows (to the satisfaction of the MDHHS agency, upon its request) that there is </w:t>
            </w:r>
            <w:r>
              <w:t xml:space="preserve">a </w:t>
            </w:r>
            <w:r w:rsidRPr="001408D5">
              <w:t>need for additional information and how the delay is in the member’s interest. The appeal time frame must be extended prior to the expiration of the appeal time frame.</w:t>
            </w:r>
          </w:p>
        </w:tc>
      </w:tr>
      <w:tr w:rsidR="009075F9" w:rsidRPr="00D16F05" w14:paraId="06E16B54" w14:textId="77777777" w:rsidTr="004E3199">
        <w:tblPrEx>
          <w:tblCellMar>
            <w:left w:w="108" w:type="dxa"/>
            <w:right w:w="108" w:type="dxa"/>
          </w:tblCellMar>
        </w:tblPrEx>
        <w:trPr>
          <w:trHeight w:val="374"/>
          <w:jc w:val="center"/>
        </w:trPr>
        <w:tc>
          <w:tcPr>
            <w:tcW w:w="14011" w:type="dxa"/>
            <w:gridSpan w:val="5"/>
            <w:tcBorders>
              <w:top w:val="single" w:sz="4" w:space="0" w:color="auto"/>
              <w:bottom w:val="single" w:sz="4" w:space="0" w:color="000000" w:themeColor="text1"/>
            </w:tcBorders>
            <w:shd w:val="clear" w:color="auto" w:fill="F79548" w:themeFill="accent4"/>
          </w:tcPr>
          <w:p w14:paraId="67BADDF2" w14:textId="77777777" w:rsidR="009075F9" w:rsidRPr="00D16F05" w:rsidRDefault="009075F9" w:rsidP="009075F9">
            <w:pPr>
              <w:pStyle w:val="HSAGTableText"/>
              <w:keepNext/>
              <w:contextualSpacing/>
              <w:rPr>
                <w:b/>
              </w:rPr>
            </w:pPr>
            <w:r>
              <w:rPr>
                <w:b/>
              </w:rPr>
              <w:t>PIHP Corrective Action Plan</w:t>
            </w:r>
          </w:p>
        </w:tc>
      </w:tr>
      <w:tr w:rsidR="004F53FC" w:rsidRPr="00984D92" w14:paraId="5B70F2BD"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10DF23E6" w14:textId="2A0BFC93" w:rsidR="004F53FC" w:rsidRPr="00984D92" w:rsidRDefault="004F53FC" w:rsidP="004F53FC">
            <w:pPr>
              <w:pStyle w:val="HSAGTableText"/>
              <w:contextualSpacing/>
              <w:rPr>
                <w:bCs/>
              </w:rPr>
            </w:pPr>
            <w:r>
              <w:rPr>
                <w:b/>
              </w:rPr>
              <w:t>Root Cause Analysis:</w:t>
            </w:r>
            <w:r w:rsidRPr="003F5489">
              <w:rPr>
                <w:bCs/>
              </w:rPr>
              <w:t xml:space="preserve"> </w:t>
            </w:r>
            <w:r>
              <w:rPr>
                <w:bCs/>
              </w:rPr>
              <w:t xml:space="preserve">Lack of knowledge and education of staff. </w:t>
            </w:r>
          </w:p>
        </w:tc>
      </w:tr>
      <w:tr w:rsidR="004F53FC" w:rsidRPr="00FC2C0F" w14:paraId="53A42AC6"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171D21BE" w14:textId="1D038698" w:rsidR="004F53FC" w:rsidRPr="00FC2C0F" w:rsidRDefault="004F53FC" w:rsidP="004F53FC">
            <w:pPr>
              <w:pStyle w:val="HSAGTableText"/>
              <w:contextualSpacing/>
              <w:rPr>
                <w:bCs/>
              </w:rPr>
            </w:pPr>
            <w:r>
              <w:rPr>
                <w:b/>
              </w:rPr>
              <w:t>PIHP Remediation Plan</w:t>
            </w:r>
            <w:r w:rsidRPr="00B30934">
              <w:rPr>
                <w:b/>
              </w:rPr>
              <w:t>:</w:t>
            </w:r>
            <w:r>
              <w:rPr>
                <w:bCs/>
              </w:rPr>
              <w:t xml:space="preserve"> The NMRE will be providing </w:t>
            </w:r>
            <w:proofErr w:type="spellStart"/>
            <w:proofErr w:type="gramStart"/>
            <w:r>
              <w:rPr>
                <w:bCs/>
              </w:rPr>
              <w:t>a</w:t>
            </w:r>
            <w:proofErr w:type="spellEnd"/>
            <w:proofErr w:type="gramEnd"/>
            <w:r>
              <w:rPr>
                <w:bCs/>
              </w:rPr>
              <w:t xml:space="preserve"> in-depth training on grievance and appeal technical requirements that will include the information regarding extensions. Also, the NMRE has implemented a quarterly report where 5 examples of appeals will be reviewed and the NMRE will provide feedback to the provider. Corrective Action Plans will be distributed if necessary to those providers unable to follow time-frame compliance. </w:t>
            </w:r>
          </w:p>
        </w:tc>
      </w:tr>
      <w:tr w:rsidR="004F53FC" w:rsidRPr="00FC2C0F" w14:paraId="7D89AA83"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5C09C2F9" w14:textId="0DA3AA21" w:rsidR="004F53FC" w:rsidRPr="00FC2C0F" w:rsidRDefault="004F53FC" w:rsidP="004F53FC">
            <w:pPr>
              <w:pStyle w:val="HSAGTableText"/>
              <w:contextualSpacing/>
              <w:rPr>
                <w:bCs/>
              </w:rPr>
            </w:pPr>
            <w:r w:rsidRPr="00B30934">
              <w:rPr>
                <w:b/>
              </w:rPr>
              <w:t>Responsible Individual(s):</w:t>
            </w:r>
            <w:r>
              <w:rPr>
                <w:bCs/>
              </w:rPr>
              <w:t xml:space="preserve"> Brie Molaison, Compliance and Customer Services Officer</w:t>
            </w:r>
          </w:p>
        </w:tc>
      </w:tr>
      <w:tr w:rsidR="004F53FC" w:rsidRPr="00FC2C0F" w14:paraId="56BAFD8B" w14:textId="77777777" w:rsidTr="004E3199">
        <w:tblPrEx>
          <w:tblCellMar>
            <w:left w:w="108" w:type="dxa"/>
            <w:right w:w="108" w:type="dxa"/>
          </w:tblCellMar>
        </w:tblPrEx>
        <w:trPr>
          <w:trHeight w:val="374"/>
          <w:jc w:val="center"/>
        </w:trPr>
        <w:tc>
          <w:tcPr>
            <w:tcW w:w="14011" w:type="dxa"/>
            <w:gridSpan w:val="5"/>
            <w:tcBorders>
              <w:top w:val="single" w:sz="4" w:space="0" w:color="000000"/>
              <w:bottom w:val="single" w:sz="4" w:space="0" w:color="auto"/>
            </w:tcBorders>
          </w:tcPr>
          <w:p w14:paraId="255F5E8D" w14:textId="7144182A" w:rsidR="004F53FC" w:rsidRPr="00FC2C0F" w:rsidRDefault="004F53FC" w:rsidP="004F53FC">
            <w:pPr>
              <w:pStyle w:val="HSAGTableText"/>
              <w:contextualSpacing/>
              <w:rPr>
                <w:bCs/>
              </w:rPr>
            </w:pPr>
            <w:r w:rsidRPr="00B30934">
              <w:rPr>
                <w:b/>
              </w:rPr>
              <w:t>Timeline:</w:t>
            </w:r>
            <w:r>
              <w:rPr>
                <w:bCs/>
              </w:rPr>
              <w:t xml:space="preserve"> October 1, 2025 – ongoing</w:t>
            </w:r>
          </w:p>
        </w:tc>
      </w:tr>
      <w:tr w:rsidR="009075F9" w14:paraId="10696F2B" w14:textId="77777777" w:rsidTr="004E3199">
        <w:tblPrEx>
          <w:tblCellMar>
            <w:left w:w="108" w:type="dxa"/>
            <w:right w:w="108" w:type="dxa"/>
          </w:tblCellMar>
        </w:tblPrEx>
        <w:trPr>
          <w:trHeight w:val="374"/>
          <w:jc w:val="center"/>
        </w:trPr>
        <w:tc>
          <w:tcPr>
            <w:tcW w:w="10432" w:type="dxa"/>
            <w:gridSpan w:val="3"/>
            <w:tcBorders>
              <w:top w:val="single" w:sz="4" w:space="0" w:color="auto"/>
              <w:bottom w:val="single" w:sz="18" w:space="0" w:color="00549E" w:themeColor="text2"/>
            </w:tcBorders>
            <w:shd w:val="clear" w:color="auto" w:fill="F2F2F2" w:themeFill="background1" w:themeFillShade="F2"/>
          </w:tcPr>
          <w:p w14:paraId="5E9DB1C9" w14:textId="23E87D72" w:rsidR="009075F9" w:rsidRPr="00FC2C0F" w:rsidRDefault="009075F9" w:rsidP="009075F9">
            <w:pPr>
              <w:pStyle w:val="HSAGTableText"/>
              <w:contextualSpacing/>
              <w:rPr>
                <w:bCs/>
              </w:rPr>
            </w:pPr>
            <w:r>
              <w:rPr>
                <w:b/>
              </w:rPr>
              <w:t>MDHHS/HSAG Response:</w:t>
            </w:r>
            <w:r>
              <w:rPr>
                <w:bCs/>
              </w:rPr>
              <w:t xml:space="preserve"> </w:t>
            </w:r>
            <w:r w:rsidR="00377433" w:rsidRPr="00377433">
              <w:rPr>
                <w:bCs/>
              </w:rPr>
              <w:t xml:space="preserve">The PIHP’s remediation plan is sufficient to ensure compliance with the requirements for this program area. </w:t>
            </w:r>
            <w:r w:rsidR="00C76AB3">
              <w:rPr>
                <w:bCs/>
              </w:rPr>
              <w:t xml:space="preserve">However, the PIHP should also consider reporting </w:t>
            </w:r>
            <w:r w:rsidR="009500CA">
              <w:rPr>
                <w:bCs/>
              </w:rPr>
              <w:t xml:space="preserve">enhancements that could be implemented to </w:t>
            </w:r>
            <w:r w:rsidR="009B7638">
              <w:rPr>
                <w:bCs/>
              </w:rPr>
              <w:t>automate</w:t>
            </w:r>
            <w:r w:rsidR="009500CA">
              <w:rPr>
                <w:bCs/>
              </w:rPr>
              <w:t xml:space="preserve"> monitoring capabilities. </w:t>
            </w:r>
            <w:r w:rsidR="00377433" w:rsidRPr="00377433">
              <w:rPr>
                <w:bCs/>
              </w:rPr>
              <w:t xml:space="preserve">While no additional information is required to be submitted at this time, the PIHP must proceed with </w:t>
            </w:r>
            <w:proofErr w:type="gramStart"/>
            <w:r w:rsidR="00377433" w:rsidRPr="00377433">
              <w:rPr>
                <w:bCs/>
              </w:rPr>
              <w:t>timely</w:t>
            </w:r>
            <w:proofErr w:type="gramEnd"/>
            <w:r w:rsidR="00377433" w:rsidRPr="00377433">
              <w:rPr>
                <w:bCs/>
              </w:rPr>
              <w:t xml:space="preserve"> implementation of its action plans. Please note, an </w:t>
            </w:r>
            <w:r w:rsidR="00377433" w:rsidRPr="00377433">
              <w:rPr>
                <w:bCs/>
                <w:i/>
                <w:iCs/>
              </w:rPr>
              <w:t>Accepted</w:t>
            </w:r>
            <w:r w:rsidR="00377433" w:rsidRPr="00377433">
              <w:rPr>
                <w:bCs/>
              </w:rPr>
              <w:t xml:space="preserve"> </w:t>
            </w:r>
            <w:proofErr w:type="gramStart"/>
            <w:r w:rsidR="009500CA" w:rsidRPr="009500CA">
              <w:rPr>
                <w:bCs/>
                <w:i/>
                <w:iCs/>
              </w:rPr>
              <w:t>With</w:t>
            </w:r>
            <w:proofErr w:type="gramEnd"/>
            <w:r w:rsidR="009500CA">
              <w:rPr>
                <w:bCs/>
              </w:rPr>
              <w:t xml:space="preserve"> </w:t>
            </w:r>
            <w:r w:rsidR="009500CA" w:rsidRPr="009500CA">
              <w:rPr>
                <w:bCs/>
                <w:i/>
                <w:iCs/>
              </w:rPr>
              <w:t>Recommendations</w:t>
            </w:r>
            <w:r w:rsidR="009500CA">
              <w:rPr>
                <w:bCs/>
              </w:rPr>
              <w:t xml:space="preserve"> </w:t>
            </w:r>
            <w:r w:rsidR="00377433" w:rsidRPr="00377433">
              <w:rPr>
                <w:bCs/>
              </w:rPr>
              <w:t>designation is not a guarantee of future compliance. Implementation of the PIHP’s action plans and demonstration of compliance will be assessed during future compliance review activities.</w:t>
            </w:r>
          </w:p>
        </w:tc>
        <w:tc>
          <w:tcPr>
            <w:tcW w:w="3579" w:type="dxa"/>
            <w:gridSpan w:val="2"/>
            <w:tcBorders>
              <w:top w:val="single" w:sz="4" w:space="0" w:color="auto"/>
              <w:bottom w:val="single" w:sz="18" w:space="0" w:color="00549E" w:themeColor="text2"/>
            </w:tcBorders>
            <w:shd w:val="clear" w:color="auto" w:fill="F2F2F2" w:themeFill="background1" w:themeFillShade="F2"/>
          </w:tcPr>
          <w:p w14:paraId="62BA4243" w14:textId="6F18446B" w:rsidR="009075F9" w:rsidRPr="00C123EE" w:rsidRDefault="00000000" w:rsidP="009075F9">
            <w:pPr>
              <w:pStyle w:val="HSAGTableText"/>
              <w:contextualSpacing/>
              <w:rPr>
                <w:bCs/>
              </w:rPr>
            </w:pPr>
            <w:sdt>
              <w:sdtPr>
                <w:rPr>
                  <w:bCs/>
                </w:rPr>
                <w:id w:val="470562376"/>
                <w14:checkbox>
                  <w14:checked w14:val="0"/>
                  <w14:checkedState w14:val="2612" w14:font="MS Gothic"/>
                  <w14:uncheckedState w14:val="2610" w14:font="MS Gothic"/>
                </w14:checkbox>
              </w:sdtPr>
              <w:sdtContent>
                <w:r w:rsidR="009500CA">
                  <w:rPr>
                    <w:rFonts w:ascii="MS Gothic" w:eastAsia="MS Gothic" w:hAnsi="MS Gothic" w:hint="eastAsia"/>
                    <w:bCs/>
                  </w:rPr>
                  <w:t>☐</w:t>
                </w:r>
              </w:sdtContent>
            </w:sdt>
            <w:r w:rsidR="009075F9" w:rsidRPr="00C123EE">
              <w:rPr>
                <w:bCs/>
              </w:rPr>
              <w:t xml:space="preserve"> Accepted</w:t>
            </w:r>
          </w:p>
          <w:p w14:paraId="1E8CE0CE" w14:textId="5FCCF7EE" w:rsidR="009075F9" w:rsidRPr="00C123EE" w:rsidRDefault="00000000" w:rsidP="009075F9">
            <w:pPr>
              <w:pStyle w:val="HSAGTableText"/>
              <w:contextualSpacing/>
              <w:rPr>
                <w:bCs/>
              </w:rPr>
            </w:pPr>
            <w:sdt>
              <w:sdtPr>
                <w:rPr>
                  <w:bCs/>
                </w:rPr>
                <w:id w:val="-1257206495"/>
                <w14:checkbox>
                  <w14:checked w14:val="1"/>
                  <w14:checkedState w14:val="2612" w14:font="MS Gothic"/>
                  <w14:uncheckedState w14:val="2610" w14:font="MS Gothic"/>
                </w14:checkbox>
              </w:sdtPr>
              <w:sdtContent>
                <w:r w:rsidR="009500CA">
                  <w:rPr>
                    <w:rFonts w:ascii="MS Gothic" w:eastAsia="MS Gothic" w:hAnsi="MS Gothic" w:hint="eastAsia"/>
                    <w:bCs/>
                  </w:rPr>
                  <w:t>☒</w:t>
                </w:r>
              </w:sdtContent>
            </w:sdt>
            <w:r w:rsidR="009075F9" w:rsidRPr="00C123EE">
              <w:rPr>
                <w:bCs/>
              </w:rPr>
              <w:t xml:space="preserve"> Accepted </w:t>
            </w:r>
            <w:r w:rsidR="009075F9">
              <w:rPr>
                <w:bCs/>
              </w:rPr>
              <w:t>W</w:t>
            </w:r>
            <w:r w:rsidR="009075F9" w:rsidRPr="00C123EE">
              <w:rPr>
                <w:bCs/>
              </w:rPr>
              <w:t>ith Recommendations</w:t>
            </w:r>
          </w:p>
          <w:p w14:paraId="1D98F7DC" w14:textId="77777777" w:rsidR="009075F9" w:rsidRDefault="00000000" w:rsidP="009075F9">
            <w:pPr>
              <w:pStyle w:val="HSAGTableText"/>
              <w:contextualSpacing/>
              <w:rPr>
                <w:b/>
              </w:rPr>
            </w:pPr>
            <w:sdt>
              <w:sdtPr>
                <w:rPr>
                  <w:bCs/>
                </w:rPr>
                <w:id w:val="-1735620989"/>
                <w14:checkbox>
                  <w14:checked w14:val="0"/>
                  <w14:checkedState w14:val="2612" w14:font="MS Gothic"/>
                  <w14:uncheckedState w14:val="2610" w14:font="MS Gothic"/>
                </w14:checkbox>
              </w:sdtPr>
              <w:sdtContent>
                <w:r w:rsidR="009075F9" w:rsidRPr="00C123EE">
                  <w:rPr>
                    <w:rFonts w:ascii="MS Gothic" w:eastAsia="MS Gothic" w:hAnsi="MS Gothic" w:hint="eastAsia"/>
                    <w:bCs/>
                  </w:rPr>
                  <w:t>☐</w:t>
                </w:r>
              </w:sdtContent>
            </w:sdt>
            <w:r w:rsidR="009075F9" w:rsidRPr="00C123EE">
              <w:rPr>
                <w:bCs/>
              </w:rPr>
              <w:t xml:space="preserve"> Not Accepted</w:t>
            </w:r>
          </w:p>
        </w:tc>
      </w:tr>
      <w:tr w:rsidR="009075F9" w:rsidRPr="00903F99" w14:paraId="05D66026" w14:textId="77777777" w:rsidTr="004E3199">
        <w:trPr>
          <w:trHeight w:val="374"/>
          <w:jc w:val="center"/>
        </w:trPr>
        <w:tc>
          <w:tcPr>
            <w:tcW w:w="6471" w:type="dxa"/>
            <w:gridSpan w:val="2"/>
            <w:vMerge w:val="restart"/>
          </w:tcPr>
          <w:p w14:paraId="2CD5058E" w14:textId="77777777" w:rsidR="009075F9" w:rsidRPr="001408D5" w:rsidRDefault="009075F9" w:rsidP="009075F9">
            <w:pPr>
              <w:pStyle w:val="ListNoNum"/>
            </w:pPr>
            <w:r w:rsidRPr="001408D5">
              <w:rPr>
                <w:spacing w:val="-4"/>
              </w:rPr>
              <w:t>25.</w:t>
            </w:r>
            <w:r w:rsidRPr="001408D5">
              <w:rPr>
                <w:spacing w:val="-4"/>
              </w:rPr>
              <w:tab/>
            </w:r>
            <w:r w:rsidRPr="001408D5">
              <w:t>In the case that the PIHP fails to adhere to the appeal notice and timing requirements, the member is deemed to have exhausted the PIHP’s appeals process. The member may initiate a State fair hearing (SFH).</w:t>
            </w:r>
          </w:p>
          <w:p w14:paraId="0342D13C" w14:textId="77777777" w:rsidR="009075F9" w:rsidRPr="001408D5" w:rsidRDefault="009075F9" w:rsidP="009075F9">
            <w:pPr>
              <w:pStyle w:val="HSAGTableContracttext"/>
            </w:pPr>
          </w:p>
          <w:p w14:paraId="3561AA90" w14:textId="77777777" w:rsidR="009075F9" w:rsidRPr="001408D5" w:rsidRDefault="009075F9" w:rsidP="009075F9">
            <w:pPr>
              <w:pStyle w:val="HSAGTableContracttext"/>
            </w:pPr>
            <w:r w:rsidRPr="001408D5">
              <w:t>42 CFR §438.228</w:t>
            </w:r>
          </w:p>
          <w:p w14:paraId="7ED91FE4" w14:textId="77777777" w:rsidR="009075F9" w:rsidRPr="001408D5" w:rsidRDefault="009075F9" w:rsidP="009075F9">
            <w:pPr>
              <w:pStyle w:val="HSAGTableContracttext"/>
            </w:pPr>
            <w:r w:rsidRPr="001408D5">
              <w:t>42 CFR §438.408(c)(3)</w:t>
            </w:r>
          </w:p>
          <w:p w14:paraId="6AA96CE7" w14:textId="77777777" w:rsidR="009075F9" w:rsidRPr="001408D5" w:rsidRDefault="009075F9" w:rsidP="009075F9">
            <w:pPr>
              <w:pStyle w:val="HSAGTableContracttext"/>
            </w:pPr>
            <w:r w:rsidRPr="001408D5">
              <w:t>42 CFR §438.408(f)(1)(</w:t>
            </w:r>
            <w:proofErr w:type="spellStart"/>
            <w:r w:rsidRPr="001408D5">
              <w:t>i</w:t>
            </w:r>
            <w:proofErr w:type="spellEnd"/>
            <w:r w:rsidRPr="001408D5">
              <w:t>)</w:t>
            </w:r>
          </w:p>
          <w:p w14:paraId="00C3DC86" w14:textId="77777777" w:rsidR="009075F9" w:rsidRPr="001408D5" w:rsidRDefault="009075F9" w:rsidP="009075F9">
            <w:pPr>
              <w:pStyle w:val="HSAGTableContracttext"/>
            </w:pPr>
            <w:r w:rsidRPr="001408D5">
              <w:t>42 CFR §457.1260(e)(3)</w:t>
            </w:r>
          </w:p>
          <w:p w14:paraId="74EFA4CB" w14:textId="77777777" w:rsidR="009075F9" w:rsidRPr="001408D5" w:rsidRDefault="009075F9" w:rsidP="009075F9">
            <w:pPr>
              <w:pStyle w:val="HSAGTableContracttext"/>
            </w:pPr>
            <w:r w:rsidRPr="001408D5">
              <w:t>Contract Schedule A—1(M)(7)(c)(</w:t>
            </w:r>
            <w:proofErr w:type="spellStart"/>
            <w:r w:rsidRPr="001408D5">
              <w:t>i</w:t>
            </w:r>
            <w:proofErr w:type="spellEnd"/>
            <w:r w:rsidRPr="001408D5">
              <w:t>)</w:t>
            </w:r>
          </w:p>
          <w:p w14:paraId="2891EEB8" w14:textId="77777777" w:rsidR="009075F9" w:rsidRPr="001408D5" w:rsidRDefault="009075F9" w:rsidP="009075F9">
            <w:pPr>
              <w:pStyle w:val="HSAGTableContracttext"/>
            </w:pPr>
            <w:r w:rsidRPr="001408D5">
              <w:t xml:space="preserve"> Appeal and Grievance Resolution Processes Technical Requirement—VII(B)(8)</w:t>
            </w:r>
          </w:p>
          <w:p w14:paraId="37DA7999" w14:textId="017FC850" w:rsidR="009075F9" w:rsidRPr="00903F99" w:rsidRDefault="009075F9" w:rsidP="009075F9">
            <w:pPr>
              <w:pStyle w:val="HSAGTableContracttext"/>
              <w:keepNext/>
              <w:spacing w:before="0" w:after="0"/>
              <w:ind w:left="1440"/>
              <w:contextualSpacing/>
              <w:rPr>
                <w:i/>
                <w:szCs w:val="18"/>
              </w:rPr>
            </w:pPr>
            <w:r w:rsidRPr="001408D5">
              <w:t>Appeal and Grievance Resolution Processes Technical Requirement—IX(A)(2)</w:t>
            </w:r>
          </w:p>
        </w:tc>
        <w:tc>
          <w:tcPr>
            <w:tcW w:w="6114" w:type="dxa"/>
            <w:gridSpan w:val="2"/>
            <w:shd w:val="clear" w:color="auto" w:fill="FFFFFF" w:themeFill="background1"/>
          </w:tcPr>
          <w:p w14:paraId="1E3452C5" w14:textId="77777777" w:rsidR="009075F9" w:rsidRPr="001408D5" w:rsidRDefault="009075F9" w:rsidP="009075F9">
            <w:pPr>
              <w:pStyle w:val="HSAGTableText"/>
              <w:contextualSpacing/>
              <w:rPr>
                <w:b/>
                <w:bCs/>
              </w:rPr>
            </w:pPr>
            <w:r w:rsidRPr="001408D5">
              <w:rPr>
                <w:b/>
                <w:bCs/>
              </w:rPr>
              <w:lastRenderedPageBreak/>
              <w:t>HSAG Required Evidence:</w:t>
            </w:r>
          </w:p>
          <w:p w14:paraId="585821C3" w14:textId="77777777" w:rsidR="009075F9" w:rsidRPr="001408D5" w:rsidRDefault="009075F9" w:rsidP="00595A8D">
            <w:pPr>
              <w:pStyle w:val="HSAGTableText"/>
              <w:numPr>
                <w:ilvl w:val="0"/>
                <w:numId w:val="19"/>
              </w:numPr>
              <w:contextualSpacing/>
            </w:pPr>
            <w:r w:rsidRPr="001408D5">
              <w:t>Policies and procedures</w:t>
            </w:r>
          </w:p>
          <w:p w14:paraId="48142525" w14:textId="77777777" w:rsidR="009075F9" w:rsidRPr="001408D5" w:rsidRDefault="009075F9" w:rsidP="00595A8D">
            <w:pPr>
              <w:pStyle w:val="HSAGTableText"/>
              <w:numPr>
                <w:ilvl w:val="0"/>
                <w:numId w:val="19"/>
              </w:numPr>
              <w:contextualSpacing/>
            </w:pPr>
            <w:r w:rsidRPr="001408D5">
              <w:t>Tracking and reporting mechanisms</w:t>
            </w:r>
          </w:p>
          <w:p w14:paraId="47E1E2CB" w14:textId="77777777" w:rsidR="009075F9" w:rsidRPr="001408D5" w:rsidRDefault="009075F9" w:rsidP="00595A8D">
            <w:pPr>
              <w:pStyle w:val="HSAGTableText"/>
              <w:numPr>
                <w:ilvl w:val="0"/>
                <w:numId w:val="19"/>
              </w:numPr>
              <w:contextualSpacing/>
            </w:pPr>
            <w:r w:rsidRPr="001408D5">
              <w:t>Member materials, such as the member handbook</w:t>
            </w:r>
          </w:p>
          <w:p w14:paraId="3FC6643B" w14:textId="77777777" w:rsidR="009075F9" w:rsidRPr="001408D5" w:rsidRDefault="009075F9" w:rsidP="00595A8D">
            <w:pPr>
              <w:pStyle w:val="HSAGTableText"/>
              <w:numPr>
                <w:ilvl w:val="0"/>
                <w:numId w:val="19"/>
              </w:numPr>
              <w:contextualSpacing/>
            </w:pPr>
            <w:r w:rsidRPr="001408D5">
              <w:lastRenderedPageBreak/>
              <w:t>Appeal notice template for untimely appeal resolution</w:t>
            </w:r>
          </w:p>
          <w:p w14:paraId="39000726" w14:textId="77777777" w:rsidR="009075F9" w:rsidRPr="001408D5" w:rsidRDefault="009075F9" w:rsidP="00595A8D">
            <w:pPr>
              <w:pStyle w:val="HSAGTableText"/>
              <w:numPr>
                <w:ilvl w:val="0"/>
                <w:numId w:val="19"/>
              </w:numPr>
              <w:contextualSpacing/>
            </w:pPr>
            <w:r w:rsidRPr="001408D5">
              <w:t>Three case examples of an appeal that was denied due to an untimely resolution</w:t>
            </w:r>
          </w:p>
          <w:p w14:paraId="4B079035" w14:textId="77777777" w:rsidR="009075F9" w:rsidRDefault="009075F9" w:rsidP="00595A8D">
            <w:pPr>
              <w:pStyle w:val="HSAGTableText"/>
              <w:numPr>
                <w:ilvl w:val="0"/>
                <w:numId w:val="19"/>
              </w:numPr>
              <w:contextualSpacing/>
            </w:pPr>
            <w:r w:rsidRPr="001408D5">
              <w:t>HSAG will also use data reported on the appeal universe file/MDHHS reporting template</w:t>
            </w:r>
          </w:p>
          <w:p w14:paraId="5377A62B" w14:textId="5EB46EB2" w:rsidR="009075F9" w:rsidRPr="00903F99" w:rsidRDefault="009075F9" w:rsidP="00595A8D">
            <w:pPr>
              <w:pStyle w:val="HSAGTableText"/>
              <w:numPr>
                <w:ilvl w:val="0"/>
                <w:numId w:val="19"/>
              </w:numPr>
              <w:contextualSpacing/>
            </w:pPr>
            <w:r w:rsidRPr="001408D5">
              <w:t>HSAG will also use the results of the Appeal File Review</w:t>
            </w:r>
          </w:p>
        </w:tc>
        <w:tc>
          <w:tcPr>
            <w:tcW w:w="1426" w:type="dxa"/>
            <w:vMerge w:val="restart"/>
            <w:shd w:val="clear" w:color="auto" w:fill="FFFFFF" w:themeFill="background1"/>
          </w:tcPr>
          <w:p w14:paraId="6A71DB09" w14:textId="77777777" w:rsidR="009075F9" w:rsidRPr="001408D5" w:rsidRDefault="009075F9" w:rsidP="009075F9">
            <w:pPr>
              <w:spacing w:before="60" w:after="0"/>
              <w:contextualSpacing/>
              <w:rPr>
                <w:sz w:val="22"/>
              </w:rPr>
            </w:pPr>
            <w:r w:rsidRPr="001408D5">
              <w:rPr>
                <w:rFonts w:ascii="MS Gothic" w:eastAsia="MS Gothic" w:hAnsi="MS Gothic" w:hint="eastAsia"/>
                <w:sz w:val="22"/>
              </w:rPr>
              <w:lastRenderedPageBreak/>
              <w:t>☐</w:t>
            </w:r>
            <w:r w:rsidRPr="001408D5">
              <w:rPr>
                <w:sz w:val="22"/>
              </w:rPr>
              <w:t xml:space="preserve"> Met</w:t>
            </w:r>
          </w:p>
          <w:p w14:paraId="2CECCF13" w14:textId="77777777" w:rsidR="009075F9" w:rsidRPr="001408D5" w:rsidRDefault="00000000" w:rsidP="009075F9">
            <w:pPr>
              <w:spacing w:before="60" w:after="0"/>
              <w:contextualSpacing/>
              <w:rPr>
                <w:sz w:val="22"/>
              </w:rPr>
            </w:pPr>
            <w:sdt>
              <w:sdtPr>
                <w:rPr>
                  <w:rFonts w:ascii="MS Gothic" w:eastAsia="MS Gothic" w:hAnsi="MS Gothic" w:hint="eastAsia"/>
                  <w:sz w:val="22"/>
                </w:rPr>
                <w:id w:val="2094427165"/>
                <w14:checkbox>
                  <w14:checked w14:val="1"/>
                  <w14:checkedState w14:val="2612" w14:font="MS Gothic"/>
                  <w14:uncheckedState w14:val="2610" w14:font="MS Gothic"/>
                </w14:checkbox>
              </w:sdtPr>
              <w:sdtContent>
                <w:r w:rsidR="009075F9" w:rsidRPr="001408D5">
                  <w:rPr>
                    <w:rFonts w:ascii="MS Gothic" w:eastAsia="MS Gothic" w:hAnsi="MS Gothic" w:hint="eastAsia"/>
                    <w:sz w:val="22"/>
                  </w:rPr>
                  <w:t>☒</w:t>
                </w:r>
              </w:sdtContent>
            </w:sdt>
            <w:r w:rsidR="009075F9" w:rsidRPr="001408D5">
              <w:rPr>
                <w:sz w:val="22"/>
              </w:rPr>
              <w:t xml:space="preserve"> Not Met</w:t>
            </w:r>
          </w:p>
          <w:p w14:paraId="13D0C779" w14:textId="77777777" w:rsidR="009075F9" w:rsidRPr="001408D5" w:rsidRDefault="009075F9" w:rsidP="009075F9">
            <w:pPr>
              <w:spacing w:before="60" w:after="0"/>
              <w:contextualSpacing/>
              <w:rPr>
                <w:sz w:val="22"/>
              </w:rPr>
            </w:pPr>
            <w:r w:rsidRPr="001408D5">
              <w:rPr>
                <w:rFonts w:ascii="MS Gothic" w:eastAsia="MS Gothic" w:hAnsi="MS Gothic" w:hint="eastAsia"/>
                <w:sz w:val="22"/>
              </w:rPr>
              <w:t>☐</w:t>
            </w:r>
            <w:r w:rsidRPr="001408D5">
              <w:rPr>
                <w:sz w:val="22"/>
              </w:rPr>
              <w:t xml:space="preserve"> NA</w:t>
            </w:r>
          </w:p>
          <w:p w14:paraId="302E9351" w14:textId="77777777" w:rsidR="009075F9" w:rsidRPr="00903F99" w:rsidRDefault="009075F9" w:rsidP="009075F9">
            <w:pPr>
              <w:spacing w:before="0" w:after="0"/>
              <w:contextualSpacing/>
              <w:rPr>
                <w:sz w:val="22"/>
              </w:rPr>
            </w:pPr>
          </w:p>
        </w:tc>
      </w:tr>
      <w:tr w:rsidR="009075F9" w:rsidRPr="00903F99" w14:paraId="44A540EB" w14:textId="77777777" w:rsidTr="004E3199">
        <w:trPr>
          <w:trHeight w:val="374"/>
          <w:jc w:val="center"/>
        </w:trPr>
        <w:tc>
          <w:tcPr>
            <w:tcW w:w="6471" w:type="dxa"/>
            <w:gridSpan w:val="2"/>
            <w:vMerge/>
          </w:tcPr>
          <w:p w14:paraId="0C333D7E" w14:textId="77777777" w:rsidR="009075F9" w:rsidRPr="00903F99" w:rsidRDefault="009075F9" w:rsidP="00595A8D">
            <w:pPr>
              <w:pStyle w:val="HSAGNumbers"/>
              <w:numPr>
                <w:ilvl w:val="0"/>
                <w:numId w:val="16"/>
              </w:numPr>
              <w:spacing w:before="0" w:after="0"/>
              <w:contextualSpacing/>
            </w:pPr>
          </w:p>
        </w:tc>
        <w:tc>
          <w:tcPr>
            <w:tcW w:w="6114" w:type="dxa"/>
            <w:gridSpan w:val="2"/>
            <w:shd w:val="clear" w:color="auto" w:fill="FFFFFF" w:themeFill="background1"/>
          </w:tcPr>
          <w:p w14:paraId="4B812FF1" w14:textId="77777777" w:rsidR="009075F9" w:rsidRPr="001408D5" w:rsidRDefault="009075F9" w:rsidP="009075F9">
            <w:pPr>
              <w:pStyle w:val="HSAGTableText"/>
              <w:contextualSpacing/>
              <w:rPr>
                <w:b/>
                <w:bCs/>
              </w:rPr>
            </w:pPr>
            <w:r w:rsidRPr="001408D5">
              <w:rPr>
                <w:b/>
                <w:bCs/>
              </w:rPr>
              <w:t>Evidence as Submitted by the PIHP:</w:t>
            </w:r>
          </w:p>
          <w:p w14:paraId="3619193A" w14:textId="77777777" w:rsidR="009075F9" w:rsidRPr="001408D5" w:rsidRDefault="009075F9" w:rsidP="00595A8D">
            <w:pPr>
              <w:pStyle w:val="HSAGTableText"/>
              <w:numPr>
                <w:ilvl w:val="0"/>
                <w:numId w:val="33"/>
              </w:numPr>
              <w:contextualSpacing/>
            </w:pPr>
            <w:r w:rsidRPr="001408D5">
              <w:t xml:space="preserve">S9_E25_ Grievance and Appeals </w:t>
            </w:r>
            <w:proofErr w:type="spellStart"/>
            <w:r w:rsidRPr="001408D5">
              <w:t>Procedure_page</w:t>
            </w:r>
            <w:proofErr w:type="spellEnd"/>
            <w:r w:rsidRPr="001408D5">
              <w:t xml:space="preserve"> 3</w:t>
            </w:r>
          </w:p>
          <w:p w14:paraId="7BE99664" w14:textId="77777777" w:rsidR="009075F9" w:rsidRPr="001408D5" w:rsidRDefault="009075F9" w:rsidP="00595A8D">
            <w:pPr>
              <w:pStyle w:val="HSAGTableText"/>
              <w:numPr>
                <w:ilvl w:val="0"/>
                <w:numId w:val="33"/>
              </w:numPr>
              <w:contextualSpacing/>
            </w:pPr>
            <w:r w:rsidRPr="001408D5">
              <w:t xml:space="preserve">S9_E25_Guide to </w:t>
            </w:r>
            <w:proofErr w:type="spellStart"/>
            <w:r w:rsidRPr="001408D5">
              <w:t>Services_page</w:t>
            </w:r>
            <w:proofErr w:type="spellEnd"/>
            <w:r w:rsidRPr="001408D5">
              <w:t xml:space="preserve"> 17</w:t>
            </w:r>
          </w:p>
          <w:p w14:paraId="24CABA48" w14:textId="4B3B6FBE" w:rsidR="009075F9" w:rsidRPr="00903F99" w:rsidRDefault="009075F9" w:rsidP="009075F9">
            <w:pPr>
              <w:pStyle w:val="HSAGTableBullet1"/>
              <w:numPr>
                <w:ilvl w:val="0"/>
                <w:numId w:val="0"/>
              </w:numPr>
              <w:ind w:left="247" w:hanging="247"/>
            </w:pPr>
            <w:r w:rsidRPr="001408D5">
              <w:t>S9_13_E16_E21_E22_E23_E25_Appeal Tracking and Reporting</w:t>
            </w:r>
          </w:p>
        </w:tc>
        <w:tc>
          <w:tcPr>
            <w:tcW w:w="1426" w:type="dxa"/>
            <w:vMerge/>
            <w:shd w:val="clear" w:color="auto" w:fill="FFFFFF" w:themeFill="background1"/>
          </w:tcPr>
          <w:p w14:paraId="105915C8" w14:textId="77777777" w:rsidR="009075F9" w:rsidRPr="00903F99" w:rsidRDefault="009075F9" w:rsidP="009075F9">
            <w:pPr>
              <w:spacing w:before="0" w:after="0"/>
              <w:contextualSpacing/>
              <w:rPr>
                <w:sz w:val="22"/>
              </w:rPr>
            </w:pPr>
          </w:p>
        </w:tc>
      </w:tr>
      <w:tr w:rsidR="009075F9" w:rsidRPr="00903F99" w14:paraId="4518CA64" w14:textId="77777777" w:rsidTr="004E3199">
        <w:trPr>
          <w:trHeight w:val="374"/>
          <w:jc w:val="center"/>
        </w:trPr>
        <w:tc>
          <w:tcPr>
            <w:tcW w:w="14011" w:type="dxa"/>
            <w:gridSpan w:val="5"/>
            <w:vAlign w:val="center"/>
          </w:tcPr>
          <w:p w14:paraId="12B8581B" w14:textId="423A97C7" w:rsidR="009075F9" w:rsidRPr="00903F99" w:rsidRDefault="009075F9" w:rsidP="009075F9">
            <w:pPr>
              <w:pStyle w:val="HSAGTableText"/>
              <w:spacing w:before="0" w:after="0"/>
            </w:pPr>
            <w:r w:rsidRPr="001408D5">
              <w:rPr>
                <w:b/>
              </w:rPr>
              <w:t>PIHP Description of Process:</w:t>
            </w:r>
            <w:r w:rsidRPr="001408D5">
              <w:t xml:space="preserve"> In the case that the PIHP does not meet timeframe requirement for notice, the PIHP will notify the beneficiary of their right to initiate a State Fair Hearing. </w:t>
            </w:r>
          </w:p>
        </w:tc>
      </w:tr>
      <w:tr w:rsidR="009075F9" w:rsidRPr="0026679F" w14:paraId="5A27D44F" w14:textId="77777777" w:rsidTr="004E3199">
        <w:trPr>
          <w:trHeight w:val="374"/>
          <w:jc w:val="center"/>
        </w:trPr>
        <w:tc>
          <w:tcPr>
            <w:tcW w:w="14011" w:type="dxa"/>
            <w:gridSpan w:val="5"/>
            <w:tcBorders>
              <w:bottom w:val="single" w:sz="4" w:space="0" w:color="000000"/>
            </w:tcBorders>
            <w:vAlign w:val="center"/>
          </w:tcPr>
          <w:p w14:paraId="63193C36" w14:textId="5CDD7945" w:rsidR="009075F9" w:rsidRPr="0026679F" w:rsidRDefault="009075F9" w:rsidP="009075F9">
            <w:pPr>
              <w:pStyle w:val="HSAGTableText"/>
              <w:spacing w:before="0"/>
            </w:pPr>
            <w:r w:rsidRPr="001408D5">
              <w:rPr>
                <w:b/>
                <w:color w:val="auto"/>
              </w:rPr>
              <w:t>HSAG Findings:</w:t>
            </w:r>
            <w:r w:rsidRPr="001408D5">
              <w:rPr>
                <w:color w:val="auto"/>
              </w:rPr>
              <w:t xml:space="preserve"> The case example of an appeal extension confirmed that the appeal resolution time frame was extended; however, the appeal resolution time frame expired on June 14, 2024, but the extension did not occur until June 20, 2024. To complete the appeal, a member consultation with a CMHSP physician was scheduled; however, it was scheduled six days after the appeal resolution time frame had already expired. When the PIHP fails to adhere to the appeal notice and timing requirements, the member is deemed to have exhausted the PIHP’s appeals process, and the member must be informed of SFH rights. Of note, during the SFY 2022 compliance review activity, HSAG recommended that the PIHP conduct ongoing education to ensure staff have a complete understanding of the requirements of this element. This year’s findings confirm a continued need for staff training. After the site review, the PIHP indicated it had no additional documentation to provide and will work with its CMHSP for regular monitoring of appeal cases and provide additional training to staff.</w:t>
            </w:r>
          </w:p>
        </w:tc>
      </w:tr>
      <w:tr w:rsidR="009075F9" w:rsidRPr="0026679F" w14:paraId="7B16D763" w14:textId="77777777" w:rsidTr="004E3199">
        <w:trPr>
          <w:trHeight w:val="374"/>
          <w:jc w:val="center"/>
        </w:trPr>
        <w:tc>
          <w:tcPr>
            <w:tcW w:w="14011" w:type="dxa"/>
            <w:gridSpan w:val="5"/>
            <w:tcBorders>
              <w:top w:val="single" w:sz="4" w:space="0" w:color="000000"/>
              <w:bottom w:val="single" w:sz="4" w:space="0" w:color="auto"/>
            </w:tcBorders>
            <w:vAlign w:val="center"/>
          </w:tcPr>
          <w:p w14:paraId="4508BBBB" w14:textId="37822CF3" w:rsidR="009075F9" w:rsidRPr="0026679F" w:rsidRDefault="009075F9" w:rsidP="009075F9">
            <w:pPr>
              <w:pStyle w:val="HSAGTableText"/>
              <w:rPr>
                <w:b/>
              </w:rPr>
            </w:pPr>
            <w:r w:rsidRPr="001408D5">
              <w:rPr>
                <w:b/>
              </w:rPr>
              <w:t>Required Actions:</w:t>
            </w:r>
            <w:r w:rsidRPr="001408D5">
              <w:t xml:space="preserve"> In the case that the PIHP fails to adhere to the appeal notice and timing requirements, the member is deemed to have exhausted the PIHP’s appeals process, and the member may initiate </w:t>
            </w:r>
            <w:proofErr w:type="gramStart"/>
            <w:r w:rsidRPr="001408D5">
              <w:t>a</w:t>
            </w:r>
            <w:proofErr w:type="gramEnd"/>
            <w:r w:rsidRPr="001408D5">
              <w:t xml:space="preserve"> SFH. The PIHP must inform the member of the PIHP’s failure to render the decision timely and provide the member with SFH rights.</w:t>
            </w:r>
          </w:p>
        </w:tc>
      </w:tr>
      <w:tr w:rsidR="009075F9" w:rsidRPr="00D16F05" w14:paraId="7EC0A5D5" w14:textId="77777777" w:rsidTr="004E3199">
        <w:tblPrEx>
          <w:tblCellMar>
            <w:left w:w="108" w:type="dxa"/>
            <w:right w:w="108" w:type="dxa"/>
          </w:tblCellMar>
        </w:tblPrEx>
        <w:trPr>
          <w:gridBefore w:val="1"/>
          <w:wBefore w:w="7" w:type="dxa"/>
          <w:trHeight w:val="374"/>
          <w:jc w:val="center"/>
        </w:trPr>
        <w:tc>
          <w:tcPr>
            <w:tcW w:w="14004" w:type="dxa"/>
            <w:gridSpan w:val="4"/>
            <w:tcBorders>
              <w:top w:val="single" w:sz="4" w:space="0" w:color="auto"/>
              <w:bottom w:val="single" w:sz="4" w:space="0" w:color="000000" w:themeColor="text1"/>
            </w:tcBorders>
            <w:shd w:val="clear" w:color="auto" w:fill="F79548" w:themeFill="accent4"/>
          </w:tcPr>
          <w:p w14:paraId="3651E4BB" w14:textId="77777777" w:rsidR="009075F9" w:rsidRPr="00D16F05" w:rsidRDefault="009075F9" w:rsidP="009075F9">
            <w:pPr>
              <w:pStyle w:val="HSAGTableText"/>
              <w:keepNext/>
              <w:contextualSpacing/>
              <w:rPr>
                <w:b/>
              </w:rPr>
            </w:pPr>
            <w:r>
              <w:rPr>
                <w:b/>
              </w:rPr>
              <w:t>PIHP Corrective Action Plan</w:t>
            </w:r>
          </w:p>
        </w:tc>
      </w:tr>
      <w:tr w:rsidR="009075F9" w:rsidRPr="00984D92" w14:paraId="7F6BF1AB" w14:textId="77777777" w:rsidTr="004E3199">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3FA6DCA8" w14:textId="7B004A26" w:rsidR="009075F9" w:rsidRPr="00984D92" w:rsidRDefault="004F53FC" w:rsidP="009075F9">
            <w:pPr>
              <w:pStyle w:val="HSAGTableText"/>
              <w:contextualSpacing/>
              <w:rPr>
                <w:bCs/>
              </w:rPr>
            </w:pPr>
            <w:r>
              <w:rPr>
                <w:b/>
              </w:rPr>
              <w:t>Root Cause Analysis:</w:t>
            </w:r>
            <w:r w:rsidRPr="003F5489">
              <w:rPr>
                <w:bCs/>
              </w:rPr>
              <w:t xml:space="preserve"> </w:t>
            </w:r>
            <w:r>
              <w:rPr>
                <w:bCs/>
              </w:rPr>
              <w:t>Lack of education on technical requirements</w:t>
            </w:r>
            <w:r w:rsidR="009075F9">
              <w:rPr>
                <w:b/>
              </w:rPr>
              <w:t>:</w:t>
            </w:r>
            <w:r w:rsidR="009075F9" w:rsidRPr="003F5489">
              <w:rPr>
                <w:bCs/>
              </w:rPr>
              <w:t xml:space="preserve"> </w:t>
            </w:r>
          </w:p>
        </w:tc>
      </w:tr>
      <w:tr w:rsidR="009075F9" w:rsidRPr="00FC2C0F" w14:paraId="3EDF42DD" w14:textId="77777777" w:rsidTr="004E3199">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6B2328C0" w14:textId="1720E31B" w:rsidR="009075F9" w:rsidRPr="00FC2C0F" w:rsidRDefault="009075F9" w:rsidP="009075F9">
            <w:pPr>
              <w:pStyle w:val="HSAGTableText"/>
              <w:contextualSpacing/>
              <w:rPr>
                <w:bCs/>
              </w:rPr>
            </w:pPr>
            <w:r>
              <w:rPr>
                <w:b/>
              </w:rPr>
              <w:t>PIHP Remediation Plan</w:t>
            </w:r>
            <w:r w:rsidRPr="00B30934">
              <w:rPr>
                <w:b/>
              </w:rPr>
              <w:t>:</w:t>
            </w:r>
            <w:r>
              <w:rPr>
                <w:bCs/>
              </w:rPr>
              <w:t xml:space="preserve"> </w:t>
            </w:r>
            <w:r w:rsidR="004F53FC">
              <w:rPr>
                <w:bCs/>
              </w:rPr>
              <w:t xml:space="preserve">The NMRE will monitor time frame requirements for appeal notices, while also ensuring that SFH rights are explained and provided in writing to beneficiaries. The NMRE will also provide </w:t>
            </w:r>
            <w:r w:rsidR="0075648A">
              <w:rPr>
                <w:bCs/>
              </w:rPr>
              <w:t>regional</w:t>
            </w:r>
            <w:r w:rsidR="004F53FC">
              <w:rPr>
                <w:bCs/>
              </w:rPr>
              <w:t xml:space="preserve"> training on grievance and appeal technical requirements, including SFH rights. </w:t>
            </w:r>
            <w:r w:rsidR="004F53FC">
              <w:rPr>
                <w:bCs/>
              </w:rPr>
              <w:lastRenderedPageBreak/>
              <w:t>Furthermore, the NMRE will monitor technical requirements, such as SFH rights and timeframe adherence, with the newly implemented quarterly appeal report.</w:t>
            </w:r>
          </w:p>
        </w:tc>
      </w:tr>
      <w:tr w:rsidR="009075F9" w:rsidRPr="00FC2C0F" w14:paraId="3C0F8D81" w14:textId="77777777" w:rsidTr="004E3199">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1614EE88" w14:textId="784318D3" w:rsidR="009075F9" w:rsidRPr="00FC2C0F" w:rsidRDefault="009075F9" w:rsidP="009075F9">
            <w:pPr>
              <w:pStyle w:val="HSAGTableText"/>
              <w:contextualSpacing/>
              <w:rPr>
                <w:bCs/>
              </w:rPr>
            </w:pPr>
            <w:r w:rsidRPr="00B30934">
              <w:rPr>
                <w:b/>
              </w:rPr>
              <w:lastRenderedPageBreak/>
              <w:t>Responsible Individual(s):</w:t>
            </w:r>
            <w:r>
              <w:rPr>
                <w:bCs/>
              </w:rPr>
              <w:t xml:space="preserve"> </w:t>
            </w:r>
            <w:r w:rsidR="004F53FC">
              <w:rPr>
                <w:bCs/>
              </w:rPr>
              <w:t>Brie Molaison, NMRE Compliance and Customer Service Officer</w:t>
            </w:r>
          </w:p>
        </w:tc>
      </w:tr>
      <w:tr w:rsidR="009075F9" w:rsidRPr="00FC2C0F" w14:paraId="13CFEC7F" w14:textId="77777777" w:rsidTr="004E3199">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auto"/>
            </w:tcBorders>
          </w:tcPr>
          <w:p w14:paraId="3BB46D3F" w14:textId="446FFBE0" w:rsidR="009075F9" w:rsidRPr="00FC2C0F" w:rsidRDefault="009075F9" w:rsidP="009075F9">
            <w:pPr>
              <w:pStyle w:val="HSAGTableText"/>
              <w:contextualSpacing/>
              <w:rPr>
                <w:bCs/>
              </w:rPr>
            </w:pPr>
            <w:r w:rsidRPr="00B30934">
              <w:rPr>
                <w:b/>
              </w:rPr>
              <w:t>Timeline:</w:t>
            </w:r>
            <w:r>
              <w:rPr>
                <w:bCs/>
              </w:rPr>
              <w:t xml:space="preserve"> </w:t>
            </w:r>
            <w:r w:rsidR="004F53FC">
              <w:rPr>
                <w:bCs/>
              </w:rPr>
              <w:t>October 1, 2025 - ongoing</w:t>
            </w:r>
          </w:p>
        </w:tc>
      </w:tr>
      <w:tr w:rsidR="009075F9" w14:paraId="7936F440" w14:textId="77777777" w:rsidTr="004E3199">
        <w:tblPrEx>
          <w:tblCellMar>
            <w:left w:w="108" w:type="dxa"/>
            <w:right w:w="108" w:type="dxa"/>
          </w:tblCellMar>
        </w:tblPrEx>
        <w:trPr>
          <w:gridBefore w:val="1"/>
          <w:wBefore w:w="7" w:type="dxa"/>
          <w:trHeight w:val="374"/>
          <w:jc w:val="center"/>
        </w:trPr>
        <w:tc>
          <w:tcPr>
            <w:tcW w:w="10425" w:type="dxa"/>
            <w:gridSpan w:val="2"/>
            <w:tcBorders>
              <w:top w:val="single" w:sz="4" w:space="0" w:color="auto"/>
              <w:bottom w:val="single" w:sz="18" w:space="0" w:color="00549E" w:themeColor="text2"/>
            </w:tcBorders>
            <w:shd w:val="clear" w:color="auto" w:fill="F2F2F2" w:themeFill="background1" w:themeFillShade="F2"/>
          </w:tcPr>
          <w:p w14:paraId="2AB0791D" w14:textId="0D68053B" w:rsidR="009075F9" w:rsidRPr="00FC2C0F" w:rsidRDefault="009075F9" w:rsidP="009075F9">
            <w:pPr>
              <w:pStyle w:val="HSAGTableText"/>
              <w:contextualSpacing/>
              <w:rPr>
                <w:bCs/>
              </w:rPr>
            </w:pPr>
            <w:r>
              <w:rPr>
                <w:b/>
              </w:rPr>
              <w:t>MDHHS/HSAG Response:</w:t>
            </w:r>
            <w:r>
              <w:rPr>
                <w:bCs/>
              </w:rPr>
              <w:t xml:space="preserve"> </w:t>
            </w:r>
            <w:r w:rsidR="00377433" w:rsidRPr="00377433">
              <w:rPr>
                <w:bCs/>
              </w:rPr>
              <w:t xml:space="preserve">The PIHP’s remediation plan is sufficient to ensure compliance with the requirements for this program area. While no additional information is required to be submitted at this time, the PIHP must proceed with </w:t>
            </w:r>
            <w:proofErr w:type="gramStart"/>
            <w:r w:rsidR="00377433" w:rsidRPr="00377433">
              <w:rPr>
                <w:bCs/>
              </w:rPr>
              <w:t>timely</w:t>
            </w:r>
            <w:proofErr w:type="gramEnd"/>
            <w:r w:rsidR="00377433" w:rsidRPr="00377433">
              <w:rPr>
                <w:bCs/>
              </w:rPr>
              <w:t xml:space="preserve"> implementation of its action plans. Please note, an </w:t>
            </w:r>
            <w:r w:rsidR="00377433" w:rsidRPr="00377433">
              <w:rPr>
                <w:bCs/>
                <w:i/>
                <w:iCs/>
              </w:rPr>
              <w:t>Accepted</w:t>
            </w:r>
            <w:r w:rsidR="00377433" w:rsidRPr="00377433">
              <w:rPr>
                <w:bCs/>
              </w:rPr>
              <w:t xml:space="preserve"> designation is not a guarantee of future compliance. Implementation of the PIHP’s action plans and demonstration of compliance will be assessed during future compliance review activities.</w:t>
            </w:r>
          </w:p>
        </w:tc>
        <w:tc>
          <w:tcPr>
            <w:tcW w:w="3579" w:type="dxa"/>
            <w:gridSpan w:val="2"/>
            <w:tcBorders>
              <w:top w:val="single" w:sz="4" w:space="0" w:color="auto"/>
              <w:bottom w:val="single" w:sz="18" w:space="0" w:color="00549E" w:themeColor="text2"/>
            </w:tcBorders>
            <w:shd w:val="clear" w:color="auto" w:fill="F2F2F2" w:themeFill="background1" w:themeFillShade="F2"/>
          </w:tcPr>
          <w:p w14:paraId="4F23111F" w14:textId="324346A9" w:rsidR="009075F9" w:rsidRPr="00C123EE" w:rsidRDefault="00000000" w:rsidP="009075F9">
            <w:pPr>
              <w:pStyle w:val="HSAGTableText"/>
              <w:contextualSpacing/>
              <w:rPr>
                <w:bCs/>
              </w:rPr>
            </w:pPr>
            <w:sdt>
              <w:sdtPr>
                <w:rPr>
                  <w:bCs/>
                </w:rPr>
                <w:id w:val="-1285799759"/>
                <w14:checkbox>
                  <w14:checked w14:val="1"/>
                  <w14:checkedState w14:val="2612" w14:font="MS Gothic"/>
                  <w14:uncheckedState w14:val="2610" w14:font="MS Gothic"/>
                </w14:checkbox>
              </w:sdtPr>
              <w:sdtContent>
                <w:r w:rsidR="00377433">
                  <w:rPr>
                    <w:rFonts w:ascii="MS Gothic" w:eastAsia="MS Gothic" w:hAnsi="MS Gothic" w:hint="eastAsia"/>
                    <w:bCs/>
                  </w:rPr>
                  <w:t>☒</w:t>
                </w:r>
              </w:sdtContent>
            </w:sdt>
            <w:r w:rsidR="009075F9" w:rsidRPr="00C123EE">
              <w:rPr>
                <w:bCs/>
              </w:rPr>
              <w:t xml:space="preserve"> Accepted</w:t>
            </w:r>
          </w:p>
          <w:p w14:paraId="0F54A5F6" w14:textId="77777777" w:rsidR="009075F9" w:rsidRPr="00C123EE" w:rsidRDefault="00000000" w:rsidP="009075F9">
            <w:pPr>
              <w:pStyle w:val="HSAGTableText"/>
              <w:contextualSpacing/>
              <w:rPr>
                <w:bCs/>
              </w:rPr>
            </w:pPr>
            <w:sdt>
              <w:sdtPr>
                <w:rPr>
                  <w:bCs/>
                </w:rPr>
                <w:id w:val="420686171"/>
                <w14:checkbox>
                  <w14:checked w14:val="0"/>
                  <w14:checkedState w14:val="2612" w14:font="MS Gothic"/>
                  <w14:uncheckedState w14:val="2610" w14:font="MS Gothic"/>
                </w14:checkbox>
              </w:sdtPr>
              <w:sdtContent>
                <w:r w:rsidR="009075F9" w:rsidRPr="00C123EE">
                  <w:rPr>
                    <w:rFonts w:ascii="MS Gothic" w:eastAsia="MS Gothic" w:hAnsi="MS Gothic" w:hint="eastAsia"/>
                    <w:bCs/>
                  </w:rPr>
                  <w:t>☐</w:t>
                </w:r>
              </w:sdtContent>
            </w:sdt>
            <w:r w:rsidR="009075F9" w:rsidRPr="00C123EE">
              <w:rPr>
                <w:bCs/>
              </w:rPr>
              <w:t xml:space="preserve"> Accepted </w:t>
            </w:r>
            <w:r w:rsidR="009075F9">
              <w:rPr>
                <w:bCs/>
              </w:rPr>
              <w:t>W</w:t>
            </w:r>
            <w:r w:rsidR="009075F9" w:rsidRPr="00C123EE">
              <w:rPr>
                <w:bCs/>
              </w:rPr>
              <w:t>ith Recommendations</w:t>
            </w:r>
          </w:p>
          <w:p w14:paraId="3D6F7DB9" w14:textId="77777777" w:rsidR="009075F9" w:rsidRDefault="00000000" w:rsidP="009075F9">
            <w:pPr>
              <w:pStyle w:val="HSAGTableText"/>
              <w:contextualSpacing/>
              <w:rPr>
                <w:b/>
              </w:rPr>
            </w:pPr>
            <w:sdt>
              <w:sdtPr>
                <w:rPr>
                  <w:bCs/>
                </w:rPr>
                <w:id w:val="-1961333065"/>
                <w14:checkbox>
                  <w14:checked w14:val="0"/>
                  <w14:checkedState w14:val="2612" w14:font="MS Gothic"/>
                  <w14:uncheckedState w14:val="2610" w14:font="MS Gothic"/>
                </w14:checkbox>
              </w:sdtPr>
              <w:sdtContent>
                <w:r w:rsidR="009075F9" w:rsidRPr="00C123EE">
                  <w:rPr>
                    <w:rFonts w:ascii="MS Gothic" w:eastAsia="MS Gothic" w:hAnsi="MS Gothic" w:hint="eastAsia"/>
                    <w:bCs/>
                  </w:rPr>
                  <w:t>☐</w:t>
                </w:r>
              </w:sdtContent>
            </w:sdt>
            <w:r w:rsidR="009075F9" w:rsidRPr="00C123EE">
              <w:rPr>
                <w:bCs/>
              </w:rPr>
              <w:t xml:space="preserve"> Not Accepted</w:t>
            </w:r>
          </w:p>
        </w:tc>
      </w:tr>
      <w:tr w:rsidR="009075F9" w:rsidRPr="00903F99" w14:paraId="08563DE7" w14:textId="77777777" w:rsidTr="004E3199">
        <w:trPr>
          <w:trHeight w:val="374"/>
          <w:jc w:val="center"/>
        </w:trPr>
        <w:tc>
          <w:tcPr>
            <w:tcW w:w="6471" w:type="dxa"/>
            <w:gridSpan w:val="2"/>
            <w:vMerge w:val="restart"/>
          </w:tcPr>
          <w:p w14:paraId="37D2CF0C" w14:textId="77777777" w:rsidR="009075F9" w:rsidRPr="001408D5" w:rsidRDefault="009075F9" w:rsidP="009075F9">
            <w:pPr>
              <w:pStyle w:val="ListNoNum"/>
              <w:rPr>
                <w:rFonts w:eastAsiaTheme="minorHAnsi"/>
                <w:color w:val="000000" w:themeColor="text1"/>
                <w:sz w:val="16"/>
                <w:szCs w:val="16"/>
              </w:rPr>
            </w:pPr>
            <w:r w:rsidRPr="001408D5">
              <w:br w:type="page"/>
            </w:r>
            <w:r w:rsidRPr="001408D5">
              <w:rPr>
                <w:spacing w:val="-4"/>
              </w:rPr>
              <w:t>34.</w:t>
            </w:r>
            <w:r w:rsidRPr="001408D5">
              <w:rPr>
                <w:spacing w:val="-4"/>
              </w:rPr>
              <w:tab/>
            </w:r>
            <w:r w:rsidRPr="001408D5">
              <w:t>If the PIHP or the SFH officer reverses a decision to deny, limit, or delay services that were not furnished while the appeal was pending, the PIHP authorizes or provides the disputed services promptly and as expeditiously as the member’s health condition requires but no later than 72 hours from the date it receives notice reversing the determination.</w:t>
            </w:r>
          </w:p>
          <w:p w14:paraId="2D5DC844" w14:textId="77777777" w:rsidR="009075F9" w:rsidRPr="001408D5" w:rsidRDefault="009075F9" w:rsidP="009075F9">
            <w:pPr>
              <w:pStyle w:val="HSAGTableContracttext"/>
              <w:rPr>
                <w:sz w:val="12"/>
                <w:szCs w:val="12"/>
              </w:rPr>
            </w:pPr>
          </w:p>
          <w:p w14:paraId="01D8A86E" w14:textId="77777777" w:rsidR="009075F9" w:rsidRPr="001408D5" w:rsidRDefault="009075F9" w:rsidP="009075F9">
            <w:pPr>
              <w:pStyle w:val="HSAGTableContracttext"/>
            </w:pPr>
            <w:r w:rsidRPr="001408D5">
              <w:t>42 CFR §438.228</w:t>
            </w:r>
          </w:p>
          <w:p w14:paraId="6FC241A0" w14:textId="77777777" w:rsidR="009075F9" w:rsidRPr="001408D5" w:rsidRDefault="009075F9" w:rsidP="009075F9">
            <w:pPr>
              <w:pStyle w:val="HSAGTableContracttext"/>
            </w:pPr>
            <w:r w:rsidRPr="001408D5">
              <w:rPr>
                <w:iCs/>
              </w:rPr>
              <w:t>42 CFR §438.424(a)</w:t>
            </w:r>
          </w:p>
          <w:p w14:paraId="0A5C83C7" w14:textId="77777777" w:rsidR="009075F9" w:rsidRPr="001408D5" w:rsidRDefault="009075F9" w:rsidP="009075F9">
            <w:pPr>
              <w:pStyle w:val="HSAGTableContracttext"/>
            </w:pPr>
            <w:r w:rsidRPr="001408D5">
              <w:t>42 CFR §457.1260(</w:t>
            </w:r>
            <w:proofErr w:type="spellStart"/>
            <w:r w:rsidRPr="001408D5">
              <w:t>i</w:t>
            </w:r>
            <w:proofErr w:type="spellEnd"/>
            <w:r w:rsidRPr="001408D5">
              <w:t>)</w:t>
            </w:r>
          </w:p>
          <w:p w14:paraId="1A381C06" w14:textId="77777777" w:rsidR="009075F9" w:rsidRPr="001408D5" w:rsidRDefault="009075F9" w:rsidP="009075F9">
            <w:pPr>
              <w:pStyle w:val="HSAGTableContracttext"/>
              <w:rPr>
                <w:iCs/>
              </w:rPr>
            </w:pPr>
            <w:r w:rsidRPr="001408D5">
              <w:rPr>
                <w:iCs/>
              </w:rPr>
              <w:t>Contract Schedule A—1(M)(5)(j)</w:t>
            </w:r>
          </w:p>
          <w:p w14:paraId="4C45377B" w14:textId="7597C487" w:rsidR="009075F9" w:rsidRPr="00903F99" w:rsidRDefault="009075F9" w:rsidP="009075F9">
            <w:pPr>
              <w:pStyle w:val="HSAGTableContracttext"/>
              <w:keepNext/>
              <w:spacing w:before="0" w:after="0"/>
              <w:ind w:left="1440"/>
              <w:contextualSpacing/>
              <w:rPr>
                <w:i/>
                <w:szCs w:val="18"/>
              </w:rPr>
            </w:pPr>
            <w:r w:rsidRPr="001408D5">
              <w:rPr>
                <w:iCs/>
              </w:rPr>
              <w:t>Appeal and Grievance Resolution Processes Technical Requirement</w:t>
            </w:r>
            <w:r w:rsidRPr="001408D5">
              <w:t>—</w:t>
            </w:r>
            <w:r w:rsidRPr="001408D5">
              <w:rPr>
                <w:iCs/>
              </w:rPr>
              <w:t>VI(F)</w:t>
            </w:r>
          </w:p>
        </w:tc>
        <w:tc>
          <w:tcPr>
            <w:tcW w:w="6114" w:type="dxa"/>
            <w:gridSpan w:val="2"/>
            <w:shd w:val="clear" w:color="auto" w:fill="FFFFFF" w:themeFill="background1"/>
          </w:tcPr>
          <w:p w14:paraId="5A5B71A4" w14:textId="77777777" w:rsidR="009075F9" w:rsidRPr="001408D5" w:rsidRDefault="009075F9" w:rsidP="009075F9">
            <w:pPr>
              <w:pStyle w:val="HSAGTableText"/>
              <w:contextualSpacing/>
              <w:rPr>
                <w:b/>
                <w:bCs/>
              </w:rPr>
            </w:pPr>
            <w:r w:rsidRPr="001408D5">
              <w:rPr>
                <w:b/>
                <w:bCs/>
              </w:rPr>
              <w:t>HSAG Required Evidence:</w:t>
            </w:r>
          </w:p>
          <w:p w14:paraId="01239180" w14:textId="77777777" w:rsidR="009075F9" w:rsidRPr="001408D5" w:rsidRDefault="009075F9" w:rsidP="00595A8D">
            <w:pPr>
              <w:pStyle w:val="HSAGTableText"/>
              <w:numPr>
                <w:ilvl w:val="0"/>
                <w:numId w:val="19"/>
              </w:numPr>
              <w:contextualSpacing/>
            </w:pPr>
            <w:r w:rsidRPr="001408D5">
              <w:t>Policies and procedures</w:t>
            </w:r>
          </w:p>
          <w:p w14:paraId="4C9184B6" w14:textId="77777777" w:rsidR="009075F9" w:rsidRPr="001408D5" w:rsidRDefault="009075F9" w:rsidP="00595A8D">
            <w:pPr>
              <w:pStyle w:val="HSAGTableText"/>
              <w:numPr>
                <w:ilvl w:val="0"/>
                <w:numId w:val="19"/>
              </w:numPr>
              <w:contextualSpacing/>
            </w:pPr>
            <w:r w:rsidRPr="001408D5">
              <w:t>Tracking and reporting mechanisms</w:t>
            </w:r>
          </w:p>
          <w:p w14:paraId="419EE522" w14:textId="77777777" w:rsidR="009075F9" w:rsidRDefault="009075F9" w:rsidP="00595A8D">
            <w:pPr>
              <w:pStyle w:val="HSAGTableText"/>
              <w:numPr>
                <w:ilvl w:val="0"/>
                <w:numId w:val="19"/>
              </w:numPr>
              <w:contextualSpacing/>
            </w:pPr>
            <w:r w:rsidRPr="001408D5">
              <w:t>Three case examples of an overturned appeal/SFH, including the date and time of the decision and the date and time services were authorized or provided (e.g., evidence of the date/time when authorization was added to system)</w:t>
            </w:r>
          </w:p>
          <w:p w14:paraId="166E49D2" w14:textId="4DE0BC26" w:rsidR="009075F9" w:rsidRPr="00903F99" w:rsidRDefault="009075F9" w:rsidP="00595A8D">
            <w:pPr>
              <w:pStyle w:val="HSAGTableText"/>
              <w:numPr>
                <w:ilvl w:val="0"/>
                <w:numId w:val="19"/>
              </w:numPr>
              <w:contextualSpacing/>
            </w:pPr>
            <w:r w:rsidRPr="001408D5">
              <w:t>HSAG will also use the results of the Appeal File Review</w:t>
            </w:r>
          </w:p>
        </w:tc>
        <w:tc>
          <w:tcPr>
            <w:tcW w:w="1426" w:type="dxa"/>
            <w:vMerge w:val="restart"/>
            <w:shd w:val="clear" w:color="auto" w:fill="FFFFFF" w:themeFill="background1"/>
          </w:tcPr>
          <w:p w14:paraId="5AA736EA" w14:textId="77777777" w:rsidR="009075F9" w:rsidRPr="001408D5" w:rsidRDefault="009075F9" w:rsidP="009075F9">
            <w:pPr>
              <w:spacing w:before="60" w:after="0"/>
              <w:contextualSpacing/>
              <w:rPr>
                <w:sz w:val="22"/>
              </w:rPr>
            </w:pPr>
            <w:r w:rsidRPr="001408D5">
              <w:rPr>
                <w:rFonts w:ascii="MS Gothic" w:eastAsia="MS Gothic" w:hAnsi="MS Gothic" w:hint="eastAsia"/>
                <w:sz w:val="22"/>
              </w:rPr>
              <w:t>☐</w:t>
            </w:r>
            <w:r w:rsidRPr="001408D5">
              <w:rPr>
                <w:sz w:val="22"/>
              </w:rPr>
              <w:t xml:space="preserve"> Met</w:t>
            </w:r>
          </w:p>
          <w:p w14:paraId="5BF2A684" w14:textId="77777777" w:rsidR="009075F9" w:rsidRPr="001408D5" w:rsidRDefault="00000000" w:rsidP="009075F9">
            <w:pPr>
              <w:spacing w:before="60" w:after="0"/>
              <w:contextualSpacing/>
              <w:rPr>
                <w:sz w:val="22"/>
              </w:rPr>
            </w:pPr>
            <w:sdt>
              <w:sdtPr>
                <w:rPr>
                  <w:rFonts w:ascii="MS Gothic" w:eastAsia="MS Gothic" w:hAnsi="MS Gothic" w:hint="eastAsia"/>
                  <w:sz w:val="22"/>
                </w:rPr>
                <w:id w:val="561140587"/>
                <w14:checkbox>
                  <w14:checked w14:val="1"/>
                  <w14:checkedState w14:val="2612" w14:font="MS Gothic"/>
                  <w14:uncheckedState w14:val="2610" w14:font="MS Gothic"/>
                </w14:checkbox>
              </w:sdtPr>
              <w:sdtContent>
                <w:r w:rsidR="009075F9" w:rsidRPr="001408D5">
                  <w:rPr>
                    <w:rFonts w:ascii="MS Gothic" w:eastAsia="MS Gothic" w:hAnsi="MS Gothic" w:hint="eastAsia"/>
                    <w:sz w:val="22"/>
                  </w:rPr>
                  <w:t>☒</w:t>
                </w:r>
              </w:sdtContent>
            </w:sdt>
            <w:r w:rsidR="009075F9" w:rsidRPr="001408D5">
              <w:rPr>
                <w:sz w:val="22"/>
              </w:rPr>
              <w:t xml:space="preserve"> Not Met</w:t>
            </w:r>
          </w:p>
          <w:p w14:paraId="06EB0B4B" w14:textId="77777777" w:rsidR="009075F9" w:rsidRPr="001408D5" w:rsidRDefault="009075F9" w:rsidP="009075F9">
            <w:pPr>
              <w:spacing w:before="60" w:after="0"/>
              <w:contextualSpacing/>
              <w:rPr>
                <w:sz w:val="22"/>
              </w:rPr>
            </w:pPr>
            <w:r w:rsidRPr="001408D5">
              <w:rPr>
                <w:rFonts w:ascii="MS Gothic" w:eastAsia="MS Gothic" w:hAnsi="MS Gothic" w:hint="eastAsia"/>
                <w:sz w:val="22"/>
              </w:rPr>
              <w:t>☐</w:t>
            </w:r>
            <w:r w:rsidRPr="001408D5">
              <w:rPr>
                <w:sz w:val="22"/>
              </w:rPr>
              <w:t xml:space="preserve"> NA</w:t>
            </w:r>
          </w:p>
          <w:p w14:paraId="2012B27E" w14:textId="77777777" w:rsidR="009075F9" w:rsidRPr="00903F99" w:rsidRDefault="009075F9" w:rsidP="009075F9">
            <w:pPr>
              <w:spacing w:before="0" w:after="0"/>
              <w:contextualSpacing/>
              <w:rPr>
                <w:sz w:val="22"/>
              </w:rPr>
            </w:pPr>
          </w:p>
        </w:tc>
      </w:tr>
      <w:tr w:rsidR="009075F9" w:rsidRPr="00903F99" w14:paraId="32E46D2D" w14:textId="77777777" w:rsidTr="004E3199">
        <w:trPr>
          <w:trHeight w:val="374"/>
          <w:jc w:val="center"/>
        </w:trPr>
        <w:tc>
          <w:tcPr>
            <w:tcW w:w="6471" w:type="dxa"/>
            <w:gridSpan w:val="2"/>
            <w:vMerge/>
          </w:tcPr>
          <w:p w14:paraId="6F918E3F" w14:textId="77777777" w:rsidR="009075F9" w:rsidRPr="00903F99" w:rsidRDefault="009075F9" w:rsidP="00595A8D">
            <w:pPr>
              <w:pStyle w:val="HSAGNumbers"/>
              <w:numPr>
                <w:ilvl w:val="0"/>
                <w:numId w:val="16"/>
              </w:numPr>
              <w:spacing w:before="0" w:after="0"/>
              <w:contextualSpacing/>
            </w:pPr>
          </w:p>
        </w:tc>
        <w:tc>
          <w:tcPr>
            <w:tcW w:w="6114" w:type="dxa"/>
            <w:gridSpan w:val="2"/>
            <w:shd w:val="clear" w:color="auto" w:fill="FFFFFF" w:themeFill="background1"/>
          </w:tcPr>
          <w:p w14:paraId="021D00F6" w14:textId="77777777" w:rsidR="009075F9" w:rsidRPr="001408D5" w:rsidRDefault="009075F9" w:rsidP="009075F9">
            <w:pPr>
              <w:pStyle w:val="HSAGTableText"/>
              <w:contextualSpacing/>
              <w:rPr>
                <w:b/>
                <w:bCs/>
              </w:rPr>
            </w:pPr>
            <w:r w:rsidRPr="001408D5">
              <w:rPr>
                <w:b/>
                <w:bCs/>
              </w:rPr>
              <w:t>Evidence as Submitted by the PIHP:</w:t>
            </w:r>
          </w:p>
          <w:p w14:paraId="3E0B0418" w14:textId="2DBA8023" w:rsidR="009075F9" w:rsidRPr="00903F99" w:rsidRDefault="009075F9" w:rsidP="009075F9">
            <w:pPr>
              <w:pStyle w:val="HSAGTableBullet1"/>
              <w:numPr>
                <w:ilvl w:val="0"/>
                <w:numId w:val="0"/>
              </w:numPr>
              <w:ind w:left="247" w:hanging="247"/>
            </w:pPr>
            <w:r w:rsidRPr="001408D5">
              <w:t>S9_E34 Grievance and Appeals Procedure page 7</w:t>
            </w:r>
          </w:p>
        </w:tc>
        <w:tc>
          <w:tcPr>
            <w:tcW w:w="1426" w:type="dxa"/>
            <w:vMerge/>
            <w:shd w:val="clear" w:color="auto" w:fill="FFFFFF" w:themeFill="background1"/>
          </w:tcPr>
          <w:p w14:paraId="47A8D446" w14:textId="77777777" w:rsidR="009075F9" w:rsidRPr="00903F99" w:rsidRDefault="009075F9" w:rsidP="009075F9">
            <w:pPr>
              <w:spacing w:before="0" w:after="0"/>
              <w:contextualSpacing/>
              <w:rPr>
                <w:sz w:val="22"/>
              </w:rPr>
            </w:pPr>
          </w:p>
        </w:tc>
      </w:tr>
      <w:tr w:rsidR="009075F9" w:rsidRPr="00903F99" w14:paraId="47BA02EB" w14:textId="77777777" w:rsidTr="004E3199">
        <w:trPr>
          <w:trHeight w:val="374"/>
          <w:jc w:val="center"/>
        </w:trPr>
        <w:tc>
          <w:tcPr>
            <w:tcW w:w="14011" w:type="dxa"/>
            <w:gridSpan w:val="5"/>
            <w:vAlign w:val="center"/>
          </w:tcPr>
          <w:p w14:paraId="003D38D5" w14:textId="66D27CFB" w:rsidR="009075F9" w:rsidRPr="00903F99" w:rsidRDefault="009075F9" w:rsidP="009075F9">
            <w:pPr>
              <w:pStyle w:val="HSAGTableText"/>
              <w:spacing w:before="0" w:after="0"/>
            </w:pPr>
            <w:r w:rsidRPr="001408D5">
              <w:rPr>
                <w:b/>
              </w:rPr>
              <w:t>PIHP Description of Process:</w:t>
            </w:r>
            <w:r w:rsidRPr="001408D5">
              <w:t xml:space="preserve"> The PIHP will reinstate services that were denied, limited or delayed, within 72 hours of the reversal notice or as expeditiously as the beneficiary’s condition requires. </w:t>
            </w:r>
          </w:p>
        </w:tc>
      </w:tr>
      <w:tr w:rsidR="009075F9" w:rsidRPr="0026679F" w14:paraId="40C4B49B" w14:textId="77777777" w:rsidTr="004E3199">
        <w:trPr>
          <w:trHeight w:val="374"/>
          <w:jc w:val="center"/>
        </w:trPr>
        <w:tc>
          <w:tcPr>
            <w:tcW w:w="14011" w:type="dxa"/>
            <w:gridSpan w:val="5"/>
            <w:tcBorders>
              <w:bottom w:val="single" w:sz="4" w:space="0" w:color="000000"/>
            </w:tcBorders>
            <w:vAlign w:val="center"/>
          </w:tcPr>
          <w:p w14:paraId="341197DB" w14:textId="77777777" w:rsidR="009075F9" w:rsidRPr="001408D5" w:rsidRDefault="009075F9" w:rsidP="009075F9">
            <w:pPr>
              <w:pStyle w:val="HSAGTableText"/>
              <w:rPr>
                <w:color w:val="auto"/>
              </w:rPr>
            </w:pPr>
            <w:r w:rsidRPr="001408D5">
              <w:rPr>
                <w:b/>
              </w:rPr>
              <w:t>HSAG Findings:</w:t>
            </w:r>
            <w:r w:rsidRPr="001408D5">
              <w:t xml:space="preserve"> The case file review identified one record (Sample 2) which did not include documentation confirming that the overturned service was reinstated within 72 hours. </w:t>
            </w:r>
            <w:r w:rsidRPr="001408D5">
              <w:rPr>
                <w:color w:val="auto"/>
              </w:rPr>
              <w:t>After the site review, the PIHP indicated that it had no additional documentation to provide and will work with its CMHSP for regular monitoring of appeal cases and provide additional training to staff.</w:t>
            </w:r>
          </w:p>
          <w:p w14:paraId="460ECC69" w14:textId="21FB6AE7" w:rsidR="009075F9" w:rsidRPr="0026679F" w:rsidRDefault="009075F9" w:rsidP="009075F9">
            <w:pPr>
              <w:pStyle w:val="HSAGTableText"/>
              <w:spacing w:before="0"/>
            </w:pPr>
            <w:r w:rsidRPr="001408D5">
              <w:rPr>
                <w:b/>
                <w:bCs/>
                <w:color w:val="auto"/>
              </w:rPr>
              <w:t>Recommendations:</w:t>
            </w:r>
            <w:r w:rsidRPr="001408D5">
              <w:rPr>
                <w:color w:val="auto"/>
              </w:rPr>
              <w:t xml:space="preserve"> While the PIHP’s system documented the date of the appeal decision, it did not capture both the date and time of the appeal decision. The system also did not include a dedicated reportable field to document, track, and report the date and time that services were either provided or authorized. As such, monitoring of adherence to the 72-hour TAT for reinstatement of services is a manual process. HSAG recommends that the PIHP </w:t>
            </w:r>
            <w:proofErr w:type="gramStart"/>
            <w:r w:rsidRPr="001408D5">
              <w:rPr>
                <w:color w:val="auto"/>
              </w:rPr>
              <w:lastRenderedPageBreak/>
              <w:t>enhance</w:t>
            </w:r>
            <w:proofErr w:type="gramEnd"/>
            <w:r w:rsidRPr="001408D5">
              <w:rPr>
                <w:color w:val="auto"/>
              </w:rPr>
              <w:t xml:space="preserve"> its system to document, track, and report TATs for reinstating services (i.e., for appeals: date and time of the appeal decision to the date and time services were provided or authorized; for SFHs: the date and time the PIHP was notified of the SFH decision to the date and time services were provided or authorized). The PIHP should also consider system enhancements to document how the services were reinstated (e.g., </w:t>
            </w:r>
            <w:proofErr w:type="gramStart"/>
            <w:r w:rsidRPr="001408D5">
              <w:rPr>
                <w:color w:val="auto"/>
              </w:rPr>
              <w:t>evidence</w:t>
            </w:r>
            <w:proofErr w:type="gramEnd"/>
            <w:r w:rsidRPr="001408D5">
              <w:rPr>
                <w:color w:val="auto"/>
              </w:rPr>
              <w:t xml:space="preserve"> when the authorization was entered and the effective dates of the authorization).</w:t>
            </w:r>
            <w:r w:rsidRPr="001408D5">
              <w:t xml:space="preserve"> System enhancements could better assist the PIHP in reporting and monitoring adherence to this metric.</w:t>
            </w:r>
            <w:r w:rsidRPr="001408D5">
              <w:rPr>
                <w:rFonts w:asciiTheme="minorHAnsi" w:hAnsiTheme="minorHAnsi"/>
                <w:kern w:val="2"/>
                <w14:ligatures w14:val="standardContextual"/>
              </w:rPr>
              <w:t xml:space="preserve"> </w:t>
            </w:r>
            <w:r w:rsidRPr="001408D5">
              <w:t xml:space="preserve">If the PIHP does not demonstrate adequate implementation of HSAG’s recommendations during future compliance reviews, the PIHP may receive a </w:t>
            </w:r>
            <w:r w:rsidRPr="001408D5">
              <w:rPr>
                <w:i/>
                <w:iCs/>
              </w:rPr>
              <w:t>Not Met</w:t>
            </w:r>
            <w:r w:rsidRPr="001408D5">
              <w:t xml:space="preserve"> score.</w:t>
            </w:r>
          </w:p>
        </w:tc>
      </w:tr>
      <w:tr w:rsidR="009075F9" w:rsidRPr="0026679F" w14:paraId="324FD1E8" w14:textId="77777777" w:rsidTr="004E3199">
        <w:trPr>
          <w:trHeight w:val="374"/>
          <w:jc w:val="center"/>
        </w:trPr>
        <w:tc>
          <w:tcPr>
            <w:tcW w:w="14011" w:type="dxa"/>
            <w:gridSpan w:val="5"/>
            <w:tcBorders>
              <w:top w:val="single" w:sz="4" w:space="0" w:color="000000"/>
              <w:bottom w:val="single" w:sz="4" w:space="0" w:color="auto"/>
            </w:tcBorders>
            <w:vAlign w:val="center"/>
          </w:tcPr>
          <w:p w14:paraId="55517DB1" w14:textId="4540D830" w:rsidR="009075F9" w:rsidRPr="0026679F" w:rsidRDefault="009075F9" w:rsidP="009075F9">
            <w:pPr>
              <w:pStyle w:val="HSAGTableText"/>
              <w:rPr>
                <w:b/>
              </w:rPr>
            </w:pPr>
            <w:r w:rsidRPr="001408D5">
              <w:rPr>
                <w:b/>
              </w:rPr>
              <w:lastRenderedPageBreak/>
              <w:t>Required Actions:</w:t>
            </w:r>
            <w:r w:rsidRPr="001408D5">
              <w:t xml:space="preserve"> If the PIHP or the SFH officer reverses a decision to deny, limit, or delay services that were not furnished while the appeal was pending, the PIHP must authorize or provide the disputed services promptly and as expeditiously as the member’s health condition requires but no later than 72 hours from the date it receives notice reversing the determination.</w:t>
            </w:r>
          </w:p>
        </w:tc>
      </w:tr>
      <w:tr w:rsidR="009075F9" w:rsidRPr="00D16F05" w14:paraId="6A037358" w14:textId="77777777" w:rsidTr="004E3199">
        <w:tblPrEx>
          <w:tblCellMar>
            <w:left w:w="108" w:type="dxa"/>
            <w:right w:w="108" w:type="dxa"/>
          </w:tblCellMar>
        </w:tblPrEx>
        <w:trPr>
          <w:gridBefore w:val="1"/>
          <w:wBefore w:w="7" w:type="dxa"/>
          <w:trHeight w:val="374"/>
          <w:jc w:val="center"/>
        </w:trPr>
        <w:tc>
          <w:tcPr>
            <w:tcW w:w="14004" w:type="dxa"/>
            <w:gridSpan w:val="4"/>
            <w:tcBorders>
              <w:top w:val="single" w:sz="4" w:space="0" w:color="auto"/>
              <w:bottom w:val="single" w:sz="4" w:space="0" w:color="000000" w:themeColor="text1"/>
            </w:tcBorders>
            <w:shd w:val="clear" w:color="auto" w:fill="F79548" w:themeFill="accent4"/>
          </w:tcPr>
          <w:p w14:paraId="3B348C9F" w14:textId="77777777" w:rsidR="009075F9" w:rsidRPr="00D16F05" w:rsidRDefault="009075F9" w:rsidP="009075F9">
            <w:pPr>
              <w:pStyle w:val="HSAGTableText"/>
              <w:keepNext/>
              <w:contextualSpacing/>
              <w:rPr>
                <w:b/>
              </w:rPr>
            </w:pPr>
            <w:r>
              <w:rPr>
                <w:b/>
              </w:rPr>
              <w:t>PIHP Corrective Action Plan</w:t>
            </w:r>
          </w:p>
        </w:tc>
      </w:tr>
      <w:tr w:rsidR="004F53FC" w:rsidRPr="00984D92" w14:paraId="6B676F42" w14:textId="77777777" w:rsidTr="004E3199">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216CF107" w14:textId="66A14C44" w:rsidR="004F53FC" w:rsidRPr="00984D92" w:rsidRDefault="004F53FC" w:rsidP="004F53FC">
            <w:pPr>
              <w:pStyle w:val="HSAGTableText"/>
              <w:contextualSpacing/>
              <w:rPr>
                <w:bCs/>
              </w:rPr>
            </w:pPr>
            <w:r>
              <w:rPr>
                <w:b/>
              </w:rPr>
              <w:t>Root Cause Analysis:</w:t>
            </w:r>
            <w:r w:rsidRPr="003F5489">
              <w:rPr>
                <w:bCs/>
              </w:rPr>
              <w:t xml:space="preserve"> </w:t>
            </w:r>
            <w:r>
              <w:rPr>
                <w:bCs/>
              </w:rPr>
              <w:t xml:space="preserve">Lack of adequate monitoring and tracking. </w:t>
            </w:r>
          </w:p>
        </w:tc>
      </w:tr>
      <w:tr w:rsidR="004F53FC" w:rsidRPr="00FC2C0F" w14:paraId="593ABEE8" w14:textId="77777777" w:rsidTr="004E3199">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7A242F62" w14:textId="3BADEC25" w:rsidR="004F53FC" w:rsidRPr="00FC2C0F" w:rsidRDefault="004F53FC" w:rsidP="004F53FC">
            <w:pPr>
              <w:pStyle w:val="HSAGTableText"/>
              <w:contextualSpacing/>
              <w:rPr>
                <w:bCs/>
              </w:rPr>
            </w:pPr>
            <w:r>
              <w:rPr>
                <w:b/>
              </w:rPr>
              <w:t>PIHP Remediation Plan</w:t>
            </w:r>
            <w:r w:rsidRPr="00B30934">
              <w:rPr>
                <w:b/>
              </w:rPr>
              <w:t>:</w:t>
            </w:r>
            <w:r>
              <w:rPr>
                <w:bCs/>
              </w:rPr>
              <w:t xml:space="preserve"> The NMRE is working with the state-wide PCE workgroup that will enhance EHR to include fields to document the date and time of the decision of appeal, which will ensure reversed decision services will be authorized within the </w:t>
            </w:r>
            <w:r w:rsidR="0075648A">
              <w:rPr>
                <w:bCs/>
              </w:rPr>
              <w:t>72-hour</w:t>
            </w:r>
            <w:r>
              <w:rPr>
                <w:bCs/>
              </w:rPr>
              <w:t xml:space="preserve"> timeframe. The NMRE will also monitor the authorization of services for reversed appeal decision via the newly implemented quarterly appeal report. </w:t>
            </w:r>
          </w:p>
        </w:tc>
      </w:tr>
      <w:tr w:rsidR="004F53FC" w:rsidRPr="00FC2C0F" w14:paraId="3E30F42C" w14:textId="77777777" w:rsidTr="004E3199">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3DBAB14F" w14:textId="463DD455" w:rsidR="004F53FC" w:rsidRPr="00FC2C0F" w:rsidRDefault="004F53FC" w:rsidP="004F53FC">
            <w:pPr>
              <w:pStyle w:val="HSAGTableText"/>
              <w:contextualSpacing/>
              <w:rPr>
                <w:bCs/>
              </w:rPr>
            </w:pPr>
            <w:r w:rsidRPr="00B30934">
              <w:rPr>
                <w:b/>
              </w:rPr>
              <w:t>Responsible Individual(s):</w:t>
            </w:r>
            <w:r>
              <w:rPr>
                <w:bCs/>
              </w:rPr>
              <w:t xml:space="preserve"> Brie Molaison, Compliance and Customer Services Officer</w:t>
            </w:r>
          </w:p>
        </w:tc>
      </w:tr>
      <w:tr w:rsidR="004F53FC" w:rsidRPr="00FC2C0F" w14:paraId="590ECBE4" w14:textId="77777777" w:rsidTr="004E3199">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auto"/>
            </w:tcBorders>
          </w:tcPr>
          <w:p w14:paraId="771418F8" w14:textId="39F7DD4C" w:rsidR="004F53FC" w:rsidRPr="00FC2C0F" w:rsidRDefault="004F53FC" w:rsidP="004F53FC">
            <w:pPr>
              <w:pStyle w:val="HSAGTableText"/>
              <w:contextualSpacing/>
              <w:rPr>
                <w:bCs/>
              </w:rPr>
            </w:pPr>
            <w:r w:rsidRPr="00B30934">
              <w:rPr>
                <w:b/>
              </w:rPr>
              <w:t>Timeline:</w:t>
            </w:r>
            <w:r>
              <w:rPr>
                <w:bCs/>
              </w:rPr>
              <w:t xml:space="preserve"> October 1, 2025 - ongoing</w:t>
            </w:r>
          </w:p>
        </w:tc>
      </w:tr>
      <w:tr w:rsidR="009075F9" w14:paraId="3A3EB472" w14:textId="77777777" w:rsidTr="00C60DEA">
        <w:tblPrEx>
          <w:tblCellMar>
            <w:left w:w="108" w:type="dxa"/>
            <w:right w:w="108" w:type="dxa"/>
          </w:tblCellMar>
        </w:tblPrEx>
        <w:trPr>
          <w:gridBefore w:val="1"/>
          <w:wBefore w:w="7" w:type="dxa"/>
          <w:trHeight w:val="374"/>
          <w:jc w:val="center"/>
        </w:trPr>
        <w:tc>
          <w:tcPr>
            <w:tcW w:w="10425" w:type="dxa"/>
            <w:gridSpan w:val="2"/>
            <w:tcBorders>
              <w:top w:val="single" w:sz="4" w:space="0" w:color="auto"/>
              <w:bottom w:val="single" w:sz="4" w:space="0" w:color="auto"/>
            </w:tcBorders>
            <w:shd w:val="clear" w:color="auto" w:fill="F2F2F2" w:themeFill="background1" w:themeFillShade="F2"/>
          </w:tcPr>
          <w:p w14:paraId="38F5B93F" w14:textId="1A280474" w:rsidR="009075F9" w:rsidRPr="00FC2C0F" w:rsidRDefault="009075F9" w:rsidP="009075F9">
            <w:pPr>
              <w:pStyle w:val="HSAGTableText"/>
              <w:contextualSpacing/>
              <w:rPr>
                <w:bCs/>
              </w:rPr>
            </w:pPr>
            <w:r>
              <w:rPr>
                <w:b/>
              </w:rPr>
              <w:t>MDHHS/HSAG Response:</w:t>
            </w:r>
            <w:r>
              <w:rPr>
                <w:bCs/>
              </w:rPr>
              <w:t xml:space="preserve"> </w:t>
            </w:r>
            <w:r w:rsidR="00377433" w:rsidRPr="00377433">
              <w:rPr>
                <w:bCs/>
              </w:rPr>
              <w:t xml:space="preserve">The PIHP’s remediation plan is sufficient to ensure compliance with the requirements for this program area. While no additional information is required to be submitted at this time, the PIHP must proceed with </w:t>
            </w:r>
            <w:proofErr w:type="gramStart"/>
            <w:r w:rsidR="00377433" w:rsidRPr="00377433">
              <w:rPr>
                <w:bCs/>
              </w:rPr>
              <w:t>timely</w:t>
            </w:r>
            <w:proofErr w:type="gramEnd"/>
            <w:r w:rsidR="00377433" w:rsidRPr="00377433">
              <w:rPr>
                <w:bCs/>
              </w:rPr>
              <w:t xml:space="preserve"> implementation of its action plans. Please note, an </w:t>
            </w:r>
            <w:r w:rsidR="00377433" w:rsidRPr="00377433">
              <w:rPr>
                <w:bCs/>
                <w:i/>
                <w:iCs/>
              </w:rPr>
              <w:t>Accepted</w:t>
            </w:r>
            <w:r w:rsidR="00377433" w:rsidRPr="00377433">
              <w:rPr>
                <w:bCs/>
              </w:rPr>
              <w:t xml:space="preserve"> designation is not a guarantee of future compliance. Implementation of the PIHP’s action plans and demonstration of compliance will be assessed during future compliance review activities.</w:t>
            </w:r>
          </w:p>
        </w:tc>
        <w:tc>
          <w:tcPr>
            <w:tcW w:w="3579" w:type="dxa"/>
            <w:gridSpan w:val="2"/>
            <w:tcBorders>
              <w:top w:val="single" w:sz="4" w:space="0" w:color="auto"/>
              <w:bottom w:val="single" w:sz="4" w:space="0" w:color="auto"/>
            </w:tcBorders>
            <w:shd w:val="clear" w:color="auto" w:fill="F2F2F2" w:themeFill="background1" w:themeFillShade="F2"/>
          </w:tcPr>
          <w:p w14:paraId="45D08379" w14:textId="7ED45672" w:rsidR="009075F9" w:rsidRPr="00C123EE" w:rsidRDefault="00000000" w:rsidP="009075F9">
            <w:pPr>
              <w:pStyle w:val="HSAGTableText"/>
              <w:contextualSpacing/>
              <w:rPr>
                <w:bCs/>
              </w:rPr>
            </w:pPr>
            <w:sdt>
              <w:sdtPr>
                <w:rPr>
                  <w:bCs/>
                </w:rPr>
                <w:id w:val="-942916511"/>
                <w14:checkbox>
                  <w14:checked w14:val="1"/>
                  <w14:checkedState w14:val="2612" w14:font="MS Gothic"/>
                  <w14:uncheckedState w14:val="2610" w14:font="MS Gothic"/>
                </w14:checkbox>
              </w:sdtPr>
              <w:sdtContent>
                <w:r w:rsidR="00377433">
                  <w:rPr>
                    <w:rFonts w:ascii="MS Gothic" w:eastAsia="MS Gothic" w:hAnsi="MS Gothic" w:hint="eastAsia"/>
                    <w:bCs/>
                  </w:rPr>
                  <w:t>☒</w:t>
                </w:r>
              </w:sdtContent>
            </w:sdt>
            <w:r w:rsidR="009075F9" w:rsidRPr="00C123EE">
              <w:rPr>
                <w:bCs/>
              </w:rPr>
              <w:t xml:space="preserve"> Accepted</w:t>
            </w:r>
          </w:p>
          <w:p w14:paraId="6B508DC6" w14:textId="77777777" w:rsidR="009075F9" w:rsidRPr="00C123EE" w:rsidRDefault="00000000" w:rsidP="009075F9">
            <w:pPr>
              <w:pStyle w:val="HSAGTableText"/>
              <w:contextualSpacing/>
              <w:rPr>
                <w:bCs/>
              </w:rPr>
            </w:pPr>
            <w:sdt>
              <w:sdtPr>
                <w:rPr>
                  <w:bCs/>
                </w:rPr>
                <w:id w:val="-1589848491"/>
                <w14:checkbox>
                  <w14:checked w14:val="0"/>
                  <w14:checkedState w14:val="2612" w14:font="MS Gothic"/>
                  <w14:uncheckedState w14:val="2610" w14:font="MS Gothic"/>
                </w14:checkbox>
              </w:sdtPr>
              <w:sdtContent>
                <w:r w:rsidR="009075F9" w:rsidRPr="00C123EE">
                  <w:rPr>
                    <w:rFonts w:ascii="MS Gothic" w:eastAsia="MS Gothic" w:hAnsi="MS Gothic" w:hint="eastAsia"/>
                    <w:bCs/>
                  </w:rPr>
                  <w:t>☐</w:t>
                </w:r>
              </w:sdtContent>
            </w:sdt>
            <w:r w:rsidR="009075F9" w:rsidRPr="00C123EE">
              <w:rPr>
                <w:bCs/>
              </w:rPr>
              <w:t xml:space="preserve"> Accepted </w:t>
            </w:r>
            <w:r w:rsidR="009075F9">
              <w:rPr>
                <w:bCs/>
              </w:rPr>
              <w:t>W</w:t>
            </w:r>
            <w:r w:rsidR="009075F9" w:rsidRPr="00C123EE">
              <w:rPr>
                <w:bCs/>
              </w:rPr>
              <w:t>ith Recommendations</w:t>
            </w:r>
          </w:p>
          <w:p w14:paraId="0C5BD673" w14:textId="77777777" w:rsidR="009075F9" w:rsidRDefault="00000000" w:rsidP="009075F9">
            <w:pPr>
              <w:pStyle w:val="HSAGTableText"/>
              <w:contextualSpacing/>
              <w:rPr>
                <w:b/>
              </w:rPr>
            </w:pPr>
            <w:sdt>
              <w:sdtPr>
                <w:rPr>
                  <w:bCs/>
                </w:rPr>
                <w:id w:val="-304002346"/>
                <w14:checkbox>
                  <w14:checked w14:val="0"/>
                  <w14:checkedState w14:val="2612" w14:font="MS Gothic"/>
                  <w14:uncheckedState w14:val="2610" w14:font="MS Gothic"/>
                </w14:checkbox>
              </w:sdtPr>
              <w:sdtContent>
                <w:r w:rsidR="009075F9" w:rsidRPr="00C123EE">
                  <w:rPr>
                    <w:rFonts w:ascii="MS Gothic" w:eastAsia="MS Gothic" w:hAnsi="MS Gothic" w:hint="eastAsia"/>
                    <w:bCs/>
                  </w:rPr>
                  <w:t>☐</w:t>
                </w:r>
              </w:sdtContent>
            </w:sdt>
            <w:r w:rsidR="009075F9" w:rsidRPr="00C123EE">
              <w:rPr>
                <w:bCs/>
              </w:rPr>
              <w:t xml:space="preserve"> Not Accepted</w:t>
            </w:r>
          </w:p>
        </w:tc>
      </w:tr>
    </w:tbl>
    <w:p w14:paraId="2CDC59CF" w14:textId="77777777" w:rsidR="0065503C" w:rsidRDefault="0065503C" w:rsidP="0065503C"/>
    <w:p w14:paraId="4E8D0300" w14:textId="12B8FCFB" w:rsidR="00E61A02" w:rsidRDefault="00E61A02">
      <w:pPr>
        <w:spacing w:before="0" w:after="200" w:line="276" w:lineRule="auto"/>
      </w:pPr>
      <w:r>
        <w:br w:type="page"/>
      </w:r>
    </w:p>
    <w:p w14:paraId="50DD4A70" w14:textId="1860687C" w:rsidR="00642D0A" w:rsidRPr="00916120" w:rsidRDefault="00642D0A" w:rsidP="00642D0A">
      <w:pPr>
        <w:pStyle w:val="Heading2"/>
        <w:pageBreakBefore/>
        <w:rPr>
          <w:sz w:val="28"/>
        </w:rPr>
      </w:pPr>
      <w:r w:rsidRPr="001408D5">
        <w:rPr>
          <w:sz w:val="28"/>
        </w:rPr>
        <w:lastRenderedPageBreak/>
        <w:t>Standard XI—Practice Guidelines</w:t>
      </w:r>
    </w:p>
    <w:tbl>
      <w:tblPr>
        <w:tblW w:w="14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475"/>
        <w:gridCol w:w="3960"/>
        <w:gridCol w:w="2160"/>
        <w:gridCol w:w="1416"/>
      </w:tblGrid>
      <w:tr w:rsidR="00642D0A" w:rsidRPr="00903F99" w14:paraId="70490A15" w14:textId="77777777" w:rsidTr="00591030">
        <w:trPr>
          <w:trHeight w:val="374"/>
          <w:tblHeader/>
          <w:jc w:val="center"/>
        </w:trPr>
        <w:tc>
          <w:tcPr>
            <w:tcW w:w="14011" w:type="dxa"/>
            <w:gridSpan w:val="4"/>
            <w:shd w:val="clear" w:color="auto" w:fill="00549E"/>
            <w:vAlign w:val="center"/>
            <w:hideMark/>
          </w:tcPr>
          <w:p w14:paraId="547D91A3" w14:textId="047480C6" w:rsidR="00642D0A" w:rsidRPr="00903F99" w:rsidRDefault="00642D0A" w:rsidP="00642D0A">
            <w:pPr>
              <w:pStyle w:val="HSAGTableHeading"/>
              <w:spacing w:before="0" w:after="0"/>
              <w:contextualSpacing/>
            </w:pPr>
            <w:r w:rsidRPr="001408D5">
              <w:t>Standard XI—Practice Guidelines</w:t>
            </w:r>
          </w:p>
        </w:tc>
      </w:tr>
      <w:tr w:rsidR="00642D0A" w:rsidRPr="0026679F" w14:paraId="1B8C869D" w14:textId="77777777" w:rsidTr="00591030">
        <w:trPr>
          <w:trHeight w:val="374"/>
          <w:tblHeader/>
          <w:jc w:val="center"/>
        </w:trPr>
        <w:tc>
          <w:tcPr>
            <w:tcW w:w="6475" w:type="dxa"/>
            <w:shd w:val="clear" w:color="auto" w:fill="DFECF7"/>
            <w:vAlign w:val="center"/>
            <w:hideMark/>
          </w:tcPr>
          <w:p w14:paraId="3D14A8BD" w14:textId="77777777" w:rsidR="00642D0A" w:rsidRPr="0026679F" w:rsidRDefault="00642D0A" w:rsidP="00642D0A">
            <w:pPr>
              <w:pStyle w:val="HSAGTableHeading"/>
              <w:rPr>
                <w:color w:val="auto"/>
              </w:rPr>
            </w:pPr>
            <w:r w:rsidRPr="0026679F">
              <w:rPr>
                <w:color w:val="auto"/>
              </w:rPr>
              <w:t>Requirement</w:t>
            </w:r>
          </w:p>
        </w:tc>
        <w:tc>
          <w:tcPr>
            <w:tcW w:w="6120" w:type="dxa"/>
            <w:gridSpan w:val="2"/>
            <w:shd w:val="clear" w:color="auto" w:fill="DFECF7"/>
            <w:vAlign w:val="center"/>
            <w:hideMark/>
          </w:tcPr>
          <w:p w14:paraId="5C9A1DB8" w14:textId="77777777" w:rsidR="00642D0A" w:rsidRPr="0026679F" w:rsidRDefault="00642D0A" w:rsidP="00642D0A">
            <w:pPr>
              <w:pStyle w:val="HSAGTableHeading"/>
              <w:rPr>
                <w:color w:val="auto"/>
              </w:rPr>
            </w:pPr>
            <w:r w:rsidRPr="0026679F">
              <w:rPr>
                <w:color w:val="auto"/>
              </w:rPr>
              <w:t>Supporting Documentation</w:t>
            </w:r>
          </w:p>
        </w:tc>
        <w:tc>
          <w:tcPr>
            <w:tcW w:w="1416" w:type="dxa"/>
            <w:shd w:val="clear" w:color="auto" w:fill="DFECF7"/>
            <w:vAlign w:val="center"/>
            <w:hideMark/>
          </w:tcPr>
          <w:p w14:paraId="1F730B7D" w14:textId="77777777" w:rsidR="00642D0A" w:rsidRPr="0026679F" w:rsidRDefault="00642D0A" w:rsidP="00642D0A">
            <w:pPr>
              <w:pStyle w:val="HSAGTableHeading"/>
              <w:rPr>
                <w:color w:val="auto"/>
              </w:rPr>
            </w:pPr>
            <w:r w:rsidRPr="0026679F">
              <w:rPr>
                <w:color w:val="auto"/>
              </w:rPr>
              <w:t>Score</w:t>
            </w:r>
          </w:p>
        </w:tc>
      </w:tr>
      <w:tr w:rsidR="00642D0A" w:rsidRPr="00903F99" w14:paraId="1F68D9AA" w14:textId="77777777" w:rsidTr="00591030">
        <w:trPr>
          <w:trHeight w:val="374"/>
          <w:jc w:val="center"/>
        </w:trPr>
        <w:tc>
          <w:tcPr>
            <w:tcW w:w="6475" w:type="dxa"/>
            <w:vMerge w:val="restart"/>
          </w:tcPr>
          <w:p w14:paraId="0E72DED9" w14:textId="77777777" w:rsidR="00642D0A" w:rsidRPr="001408D5" w:rsidRDefault="00642D0A" w:rsidP="00642D0A">
            <w:pPr>
              <w:pStyle w:val="ListNoNum"/>
              <w:rPr>
                <w:i/>
                <w:sz w:val="18"/>
                <w:szCs w:val="18"/>
              </w:rPr>
            </w:pPr>
            <w:r w:rsidRPr="001408D5">
              <w:rPr>
                <w:spacing w:val="-4"/>
              </w:rPr>
              <w:t>5.</w:t>
            </w:r>
            <w:r w:rsidRPr="001408D5">
              <w:rPr>
                <w:spacing w:val="-4"/>
              </w:rPr>
              <w:tab/>
            </w:r>
            <w:r w:rsidRPr="001408D5">
              <w:rPr>
                <w:iCs/>
              </w:rPr>
              <w:t>The PIHP disseminates the guidelines to:</w:t>
            </w:r>
          </w:p>
          <w:p w14:paraId="67DBDE9B" w14:textId="77777777" w:rsidR="00642D0A" w:rsidRPr="001408D5" w:rsidRDefault="00642D0A" w:rsidP="00642D0A">
            <w:pPr>
              <w:pStyle w:val="ListNoNum2"/>
              <w:rPr>
                <w:i/>
                <w:sz w:val="18"/>
                <w:szCs w:val="18"/>
              </w:rPr>
            </w:pPr>
            <w:r w:rsidRPr="001408D5">
              <w:t>a</w:t>
            </w:r>
            <w:proofErr w:type="gramStart"/>
            <w:r w:rsidRPr="001408D5">
              <w:t xml:space="preserve">. </w:t>
            </w:r>
            <w:r w:rsidRPr="001408D5">
              <w:tab/>
            </w:r>
            <w:r w:rsidRPr="001408D5">
              <w:rPr>
                <w:iCs/>
              </w:rPr>
              <w:t>All</w:t>
            </w:r>
            <w:proofErr w:type="gramEnd"/>
            <w:r w:rsidRPr="001408D5">
              <w:rPr>
                <w:iCs/>
              </w:rPr>
              <w:t xml:space="preserve"> affected providers.</w:t>
            </w:r>
          </w:p>
          <w:p w14:paraId="78F7CDDA" w14:textId="77777777" w:rsidR="00642D0A" w:rsidRPr="001408D5" w:rsidRDefault="00642D0A" w:rsidP="00642D0A">
            <w:pPr>
              <w:pStyle w:val="ListNoNum2"/>
              <w:rPr>
                <w:i/>
                <w:sz w:val="18"/>
                <w:szCs w:val="18"/>
              </w:rPr>
            </w:pPr>
            <w:r w:rsidRPr="001408D5">
              <w:t>b</w:t>
            </w:r>
            <w:proofErr w:type="gramStart"/>
            <w:r w:rsidRPr="001408D5">
              <w:t xml:space="preserve">. </w:t>
            </w:r>
            <w:r w:rsidRPr="001408D5">
              <w:tab/>
            </w:r>
            <w:r w:rsidRPr="001408D5">
              <w:rPr>
                <w:iCs/>
              </w:rPr>
              <w:t>Members</w:t>
            </w:r>
            <w:proofErr w:type="gramEnd"/>
            <w:r w:rsidRPr="001408D5">
              <w:rPr>
                <w:iCs/>
              </w:rPr>
              <w:t xml:space="preserve"> and potential members, upon request.</w:t>
            </w:r>
          </w:p>
          <w:p w14:paraId="55A11376" w14:textId="77777777" w:rsidR="00642D0A" w:rsidRPr="001408D5" w:rsidRDefault="00642D0A" w:rsidP="00642D0A">
            <w:pPr>
              <w:pStyle w:val="HSAGNumbers"/>
              <w:numPr>
                <w:ilvl w:val="0"/>
                <w:numId w:val="0"/>
              </w:numPr>
              <w:ind w:left="360" w:hanging="360"/>
              <w:contextualSpacing/>
              <w:jc w:val="right"/>
              <w:rPr>
                <w:iCs/>
                <w:sz w:val="18"/>
                <w:szCs w:val="18"/>
              </w:rPr>
            </w:pPr>
          </w:p>
          <w:p w14:paraId="1F748C08" w14:textId="77777777" w:rsidR="00642D0A" w:rsidRPr="001408D5" w:rsidRDefault="00642D0A" w:rsidP="00642D0A">
            <w:pPr>
              <w:pStyle w:val="HSAGTableContracttext"/>
            </w:pPr>
            <w:r w:rsidRPr="001408D5">
              <w:t>42 CFR §438.236(c)</w:t>
            </w:r>
          </w:p>
          <w:p w14:paraId="552CD38A" w14:textId="77777777" w:rsidR="00642D0A" w:rsidRPr="001408D5" w:rsidRDefault="00642D0A" w:rsidP="00642D0A">
            <w:pPr>
              <w:pStyle w:val="HSAGTableContracttext"/>
            </w:pPr>
            <w:r w:rsidRPr="001408D5">
              <w:t>42 CFR §457.1233(c)</w:t>
            </w:r>
          </w:p>
          <w:p w14:paraId="79150475" w14:textId="33BC3DA9" w:rsidR="00642D0A" w:rsidRPr="00903F99" w:rsidRDefault="00642D0A" w:rsidP="00642D0A">
            <w:pPr>
              <w:pStyle w:val="HSAGTableContracttext"/>
              <w:keepNext/>
              <w:spacing w:before="0" w:after="0"/>
              <w:ind w:left="1440"/>
              <w:contextualSpacing/>
              <w:rPr>
                <w:i/>
                <w:szCs w:val="18"/>
              </w:rPr>
            </w:pPr>
            <w:r w:rsidRPr="001408D5">
              <w:t>Contract Schedule A—1(L)(5)</w:t>
            </w:r>
          </w:p>
        </w:tc>
        <w:tc>
          <w:tcPr>
            <w:tcW w:w="6120" w:type="dxa"/>
            <w:gridSpan w:val="2"/>
            <w:shd w:val="clear" w:color="auto" w:fill="FFFFFF" w:themeFill="background1"/>
          </w:tcPr>
          <w:p w14:paraId="57963EC8" w14:textId="77777777" w:rsidR="00642D0A" w:rsidRPr="001408D5" w:rsidRDefault="00642D0A" w:rsidP="00642D0A">
            <w:pPr>
              <w:pStyle w:val="HSAGTableText"/>
              <w:contextualSpacing/>
              <w:rPr>
                <w:b/>
                <w:bCs/>
              </w:rPr>
            </w:pPr>
            <w:r w:rsidRPr="001408D5">
              <w:rPr>
                <w:b/>
                <w:bCs/>
              </w:rPr>
              <w:t>HSAG Required Evidence:</w:t>
            </w:r>
          </w:p>
          <w:p w14:paraId="39F355F3" w14:textId="77777777" w:rsidR="00642D0A" w:rsidRPr="001408D5" w:rsidRDefault="00642D0A" w:rsidP="00595A8D">
            <w:pPr>
              <w:pStyle w:val="HSAGTableText"/>
              <w:numPr>
                <w:ilvl w:val="0"/>
                <w:numId w:val="19"/>
              </w:numPr>
              <w:contextualSpacing/>
            </w:pPr>
            <w:r w:rsidRPr="001408D5">
              <w:t>Policies and procedures</w:t>
            </w:r>
          </w:p>
          <w:p w14:paraId="3FD22E75" w14:textId="77777777" w:rsidR="00642D0A" w:rsidRDefault="00642D0A" w:rsidP="00595A8D">
            <w:pPr>
              <w:pStyle w:val="HSAGTableText"/>
              <w:numPr>
                <w:ilvl w:val="0"/>
                <w:numId w:val="19"/>
              </w:numPr>
              <w:contextualSpacing/>
            </w:pPr>
            <w:r w:rsidRPr="001408D5">
              <w:t>Evidence of dissemination to providers (i.e., provider newsletter, provider manual, provider website)</w:t>
            </w:r>
          </w:p>
          <w:p w14:paraId="3658EB06" w14:textId="3A2F335C" w:rsidR="00642D0A" w:rsidRPr="00903F99" w:rsidRDefault="00642D0A" w:rsidP="00595A8D">
            <w:pPr>
              <w:pStyle w:val="HSAGTableText"/>
              <w:numPr>
                <w:ilvl w:val="0"/>
                <w:numId w:val="19"/>
              </w:numPr>
              <w:contextualSpacing/>
            </w:pPr>
            <w:r w:rsidRPr="001408D5">
              <w:t>Evidence of dissemination to members (i.e., member newsletter, member handbook, member website)</w:t>
            </w:r>
          </w:p>
        </w:tc>
        <w:tc>
          <w:tcPr>
            <w:tcW w:w="1416" w:type="dxa"/>
            <w:vMerge w:val="restart"/>
            <w:shd w:val="clear" w:color="auto" w:fill="FFFFFF" w:themeFill="background1"/>
          </w:tcPr>
          <w:p w14:paraId="099B8731" w14:textId="77777777" w:rsidR="00642D0A" w:rsidRPr="001408D5" w:rsidRDefault="00000000" w:rsidP="00642D0A">
            <w:pPr>
              <w:spacing w:before="60" w:after="0"/>
              <w:contextualSpacing/>
              <w:rPr>
                <w:sz w:val="22"/>
              </w:rPr>
            </w:pPr>
            <w:sdt>
              <w:sdtPr>
                <w:rPr>
                  <w:sz w:val="22"/>
                </w:rPr>
                <w:id w:val="-185219258"/>
                <w14:checkbox>
                  <w14:checked w14:val="0"/>
                  <w14:checkedState w14:val="2612" w14:font="MS Gothic"/>
                  <w14:uncheckedState w14:val="2610" w14:font="MS Gothic"/>
                </w14:checkbox>
              </w:sdtPr>
              <w:sdtContent>
                <w:r w:rsidR="00642D0A" w:rsidRPr="001408D5">
                  <w:rPr>
                    <w:rFonts w:ascii="MS Gothic" w:eastAsia="MS Gothic" w:hAnsi="MS Gothic" w:hint="eastAsia"/>
                    <w:sz w:val="22"/>
                  </w:rPr>
                  <w:t>☐</w:t>
                </w:r>
              </w:sdtContent>
            </w:sdt>
            <w:r w:rsidR="00642D0A" w:rsidRPr="001408D5">
              <w:rPr>
                <w:sz w:val="22"/>
              </w:rPr>
              <w:t xml:space="preserve"> Met</w:t>
            </w:r>
          </w:p>
          <w:p w14:paraId="2E9E0CD6" w14:textId="77777777" w:rsidR="00642D0A" w:rsidRPr="001408D5" w:rsidRDefault="00000000" w:rsidP="00642D0A">
            <w:pPr>
              <w:spacing w:before="60" w:after="0"/>
              <w:contextualSpacing/>
              <w:rPr>
                <w:sz w:val="22"/>
              </w:rPr>
            </w:pPr>
            <w:sdt>
              <w:sdtPr>
                <w:rPr>
                  <w:sz w:val="22"/>
                </w:rPr>
                <w:id w:val="923693741"/>
                <w14:checkbox>
                  <w14:checked w14:val="1"/>
                  <w14:checkedState w14:val="2612" w14:font="MS Gothic"/>
                  <w14:uncheckedState w14:val="2610" w14:font="MS Gothic"/>
                </w14:checkbox>
              </w:sdtPr>
              <w:sdtContent>
                <w:r w:rsidR="00642D0A" w:rsidRPr="001408D5">
                  <w:rPr>
                    <w:rFonts w:ascii="MS Gothic" w:eastAsia="MS Gothic" w:hAnsi="MS Gothic" w:hint="eastAsia"/>
                    <w:sz w:val="22"/>
                  </w:rPr>
                  <w:t>☒</w:t>
                </w:r>
              </w:sdtContent>
            </w:sdt>
            <w:r w:rsidR="00642D0A" w:rsidRPr="001408D5">
              <w:rPr>
                <w:sz w:val="22"/>
              </w:rPr>
              <w:t xml:space="preserve"> Not Met</w:t>
            </w:r>
          </w:p>
          <w:p w14:paraId="0C3D1C06" w14:textId="005F43C4" w:rsidR="00642D0A" w:rsidRPr="00903F99" w:rsidRDefault="00000000" w:rsidP="00642D0A">
            <w:pPr>
              <w:spacing w:before="0" w:after="0"/>
              <w:contextualSpacing/>
              <w:rPr>
                <w:sz w:val="22"/>
              </w:rPr>
            </w:pPr>
            <w:sdt>
              <w:sdtPr>
                <w:rPr>
                  <w:sz w:val="22"/>
                </w:rPr>
                <w:id w:val="-1124615544"/>
                <w14:checkbox>
                  <w14:checked w14:val="0"/>
                  <w14:checkedState w14:val="2612" w14:font="MS Gothic"/>
                  <w14:uncheckedState w14:val="2610" w14:font="MS Gothic"/>
                </w14:checkbox>
              </w:sdtPr>
              <w:sdtContent>
                <w:r w:rsidR="00642D0A" w:rsidRPr="001408D5">
                  <w:rPr>
                    <w:rFonts w:ascii="MS Gothic" w:eastAsia="MS Gothic" w:hAnsi="MS Gothic" w:hint="eastAsia"/>
                    <w:sz w:val="22"/>
                  </w:rPr>
                  <w:t>☐</w:t>
                </w:r>
              </w:sdtContent>
            </w:sdt>
            <w:r w:rsidR="00642D0A" w:rsidRPr="001408D5">
              <w:rPr>
                <w:sz w:val="22"/>
              </w:rPr>
              <w:t xml:space="preserve"> NA</w:t>
            </w:r>
          </w:p>
        </w:tc>
      </w:tr>
      <w:tr w:rsidR="00642D0A" w:rsidRPr="00903F99" w14:paraId="1F24E461" w14:textId="77777777" w:rsidTr="00591030">
        <w:trPr>
          <w:trHeight w:val="374"/>
          <w:jc w:val="center"/>
        </w:trPr>
        <w:tc>
          <w:tcPr>
            <w:tcW w:w="6475" w:type="dxa"/>
            <w:vMerge/>
          </w:tcPr>
          <w:p w14:paraId="14730D2D" w14:textId="77777777" w:rsidR="00642D0A" w:rsidRPr="00903F99" w:rsidRDefault="00642D0A" w:rsidP="00595A8D">
            <w:pPr>
              <w:pStyle w:val="HSAGNumbers"/>
              <w:numPr>
                <w:ilvl w:val="0"/>
                <w:numId w:val="16"/>
              </w:numPr>
              <w:spacing w:before="0" w:after="0"/>
              <w:contextualSpacing/>
            </w:pPr>
          </w:p>
        </w:tc>
        <w:tc>
          <w:tcPr>
            <w:tcW w:w="6120" w:type="dxa"/>
            <w:gridSpan w:val="2"/>
            <w:shd w:val="clear" w:color="auto" w:fill="FFFFFF" w:themeFill="background1"/>
          </w:tcPr>
          <w:p w14:paraId="61B75765" w14:textId="77777777" w:rsidR="00642D0A" w:rsidRPr="001408D5" w:rsidRDefault="00642D0A" w:rsidP="00642D0A">
            <w:pPr>
              <w:pStyle w:val="HSAGTableText"/>
              <w:contextualSpacing/>
              <w:rPr>
                <w:b/>
                <w:bCs/>
              </w:rPr>
            </w:pPr>
            <w:r w:rsidRPr="001408D5">
              <w:rPr>
                <w:b/>
                <w:bCs/>
              </w:rPr>
              <w:t>Evidence as Submitted by the PIHP:</w:t>
            </w:r>
          </w:p>
          <w:p w14:paraId="51A0A970" w14:textId="77777777" w:rsidR="00642D0A" w:rsidRPr="001408D5" w:rsidRDefault="00642D0A" w:rsidP="00595A8D">
            <w:pPr>
              <w:pStyle w:val="HSAGTableText"/>
              <w:numPr>
                <w:ilvl w:val="0"/>
                <w:numId w:val="34"/>
              </w:numPr>
              <w:contextualSpacing/>
            </w:pPr>
            <w:r w:rsidRPr="001408D5">
              <w:t>SXI_E4_E5_Practice G_pg3</w:t>
            </w:r>
          </w:p>
          <w:p w14:paraId="1B911D8F" w14:textId="77777777" w:rsidR="00642D0A" w:rsidRPr="001408D5" w:rsidRDefault="00642D0A" w:rsidP="00595A8D">
            <w:pPr>
              <w:pStyle w:val="HSAGTableText"/>
              <w:numPr>
                <w:ilvl w:val="0"/>
                <w:numId w:val="34"/>
              </w:numPr>
              <w:contextualSpacing/>
            </w:pPr>
            <w:r w:rsidRPr="001408D5">
              <w:t>SXI_E5_clinical network</w:t>
            </w:r>
          </w:p>
          <w:p w14:paraId="2927B1B2" w14:textId="77777777" w:rsidR="00642D0A" w:rsidRPr="001408D5" w:rsidRDefault="00642D0A" w:rsidP="00595A8D">
            <w:pPr>
              <w:pStyle w:val="HSAGTableText"/>
              <w:numPr>
                <w:ilvl w:val="0"/>
                <w:numId w:val="34"/>
              </w:numPr>
              <w:contextualSpacing/>
            </w:pPr>
            <w:r w:rsidRPr="001408D5">
              <w:t>SXI_E5_E6_NMREtraining</w:t>
            </w:r>
          </w:p>
          <w:p w14:paraId="0E1DAFC7" w14:textId="77777777" w:rsidR="00642D0A" w:rsidRDefault="00642D0A" w:rsidP="00595A8D">
            <w:pPr>
              <w:pStyle w:val="HSAGTableText"/>
              <w:numPr>
                <w:ilvl w:val="0"/>
                <w:numId w:val="34"/>
              </w:numPr>
              <w:contextualSpacing/>
            </w:pPr>
            <w:r w:rsidRPr="001408D5">
              <w:t>SXI_E5_E7_ MAILER POSTCARD</w:t>
            </w:r>
          </w:p>
          <w:p w14:paraId="1CCD3697" w14:textId="7BC34AE8" w:rsidR="00642D0A" w:rsidRPr="00903F99" w:rsidRDefault="00642D0A" w:rsidP="00595A8D">
            <w:pPr>
              <w:pStyle w:val="HSAGTableText"/>
              <w:numPr>
                <w:ilvl w:val="0"/>
                <w:numId w:val="34"/>
              </w:numPr>
              <w:contextualSpacing/>
            </w:pPr>
            <w:r w:rsidRPr="001408D5">
              <w:t>SXI_E5_PG_NeMCMH</w:t>
            </w:r>
          </w:p>
        </w:tc>
        <w:tc>
          <w:tcPr>
            <w:tcW w:w="1416" w:type="dxa"/>
            <w:vMerge/>
            <w:shd w:val="clear" w:color="auto" w:fill="FFFFFF" w:themeFill="background1"/>
          </w:tcPr>
          <w:p w14:paraId="07B3FE06" w14:textId="77777777" w:rsidR="00642D0A" w:rsidRPr="00903F99" w:rsidRDefault="00642D0A" w:rsidP="00642D0A">
            <w:pPr>
              <w:spacing w:before="0" w:after="0"/>
              <w:contextualSpacing/>
              <w:rPr>
                <w:sz w:val="22"/>
              </w:rPr>
            </w:pPr>
          </w:p>
        </w:tc>
      </w:tr>
      <w:tr w:rsidR="00642D0A" w:rsidRPr="00903F99" w14:paraId="4C933EE4" w14:textId="77777777" w:rsidTr="00591030">
        <w:trPr>
          <w:trHeight w:val="374"/>
          <w:jc w:val="center"/>
        </w:trPr>
        <w:tc>
          <w:tcPr>
            <w:tcW w:w="14011" w:type="dxa"/>
            <w:gridSpan w:val="4"/>
            <w:vAlign w:val="center"/>
          </w:tcPr>
          <w:p w14:paraId="74DA1B8B" w14:textId="77777777" w:rsidR="00642D0A" w:rsidRPr="001408D5" w:rsidRDefault="00642D0A" w:rsidP="00642D0A">
            <w:pPr>
              <w:pStyle w:val="HSAGTableText"/>
            </w:pPr>
            <w:r w:rsidRPr="001408D5">
              <w:rPr>
                <w:b/>
              </w:rPr>
              <w:t>PIHP Description of Process:</w:t>
            </w:r>
            <w:r w:rsidRPr="001408D5">
              <w:t xml:space="preserve"> The NMRE disseminates practice guidelines to: </w:t>
            </w:r>
          </w:p>
          <w:p w14:paraId="6E5FA74B" w14:textId="77777777" w:rsidR="00642D0A" w:rsidRPr="001408D5" w:rsidRDefault="00642D0A" w:rsidP="00642D0A">
            <w:pPr>
              <w:pStyle w:val="HSAGTableText"/>
            </w:pPr>
            <w:r w:rsidRPr="001408D5">
              <w:t xml:space="preserve">• All affected providers. </w:t>
            </w:r>
          </w:p>
          <w:p w14:paraId="66A1D590" w14:textId="77777777" w:rsidR="00642D0A" w:rsidRPr="001408D5" w:rsidRDefault="00642D0A" w:rsidP="00642D0A">
            <w:pPr>
              <w:pStyle w:val="HSAGTableText"/>
            </w:pPr>
            <w:r w:rsidRPr="001408D5">
              <w:t xml:space="preserve">• Members and potential members by an annual mailing which will direct them to the NMRE website. </w:t>
            </w:r>
          </w:p>
          <w:p w14:paraId="655A198E" w14:textId="698AF61D" w:rsidR="00642D0A" w:rsidRPr="00903F99" w:rsidRDefault="00642D0A" w:rsidP="00642D0A">
            <w:pPr>
              <w:pStyle w:val="HSAGTableText"/>
              <w:spacing w:before="0" w:after="0"/>
            </w:pPr>
            <w:r w:rsidRPr="001408D5">
              <w:t xml:space="preserve">• The public by posting to the NMRE website. </w:t>
            </w:r>
          </w:p>
        </w:tc>
      </w:tr>
      <w:tr w:rsidR="00642D0A" w:rsidRPr="0026679F" w14:paraId="0E007F1B" w14:textId="77777777" w:rsidTr="00591030">
        <w:trPr>
          <w:trHeight w:val="374"/>
          <w:jc w:val="center"/>
        </w:trPr>
        <w:tc>
          <w:tcPr>
            <w:tcW w:w="14011" w:type="dxa"/>
            <w:gridSpan w:val="4"/>
            <w:tcBorders>
              <w:bottom w:val="single" w:sz="4" w:space="0" w:color="000000"/>
            </w:tcBorders>
            <w:vAlign w:val="center"/>
          </w:tcPr>
          <w:p w14:paraId="47E096A8" w14:textId="13109998" w:rsidR="00642D0A" w:rsidRPr="0026679F" w:rsidRDefault="00642D0A" w:rsidP="00642D0A">
            <w:pPr>
              <w:pStyle w:val="HSAGTableText"/>
              <w:spacing w:before="0"/>
            </w:pPr>
            <w:r w:rsidRPr="001408D5">
              <w:rPr>
                <w:b/>
              </w:rPr>
              <w:t>HSAG Findings:</w:t>
            </w:r>
            <w:r w:rsidRPr="001408D5">
              <w:t xml:space="preserve"> The PIHP provided a copy of an email communication that was sent to all CMHSPs on October 14, 2024, which included the PIHP’s clinical practice guidelines. However, it did not appear that this email communication was also sent to the PIHP’s contracted SUD providers. Additionally, based on meeting minutes, the clinical practice guidelines were reviewed and adopted in March 2024, which was seven months prior to the CMHSPs being notified of the adopted clinical practice guidelines through email communication. Although requested during the site review, the PIHP did not provide evidence that all affected contracted providers, including SUD providers, were provided with the PIHP’s adopted clinical practice guidelines upon approval of those guidelines in March 2024 as required.   </w:t>
            </w:r>
          </w:p>
        </w:tc>
      </w:tr>
      <w:tr w:rsidR="00642D0A" w:rsidRPr="0026679F" w14:paraId="0888A963" w14:textId="77777777" w:rsidTr="00591030">
        <w:trPr>
          <w:trHeight w:val="374"/>
          <w:jc w:val="center"/>
        </w:trPr>
        <w:tc>
          <w:tcPr>
            <w:tcW w:w="14011" w:type="dxa"/>
            <w:gridSpan w:val="4"/>
            <w:tcBorders>
              <w:top w:val="single" w:sz="4" w:space="0" w:color="000000"/>
              <w:bottom w:val="single" w:sz="4" w:space="0" w:color="auto"/>
            </w:tcBorders>
            <w:vAlign w:val="center"/>
          </w:tcPr>
          <w:p w14:paraId="4418DAA4" w14:textId="7EE114A3" w:rsidR="00642D0A" w:rsidRPr="0026679F" w:rsidRDefault="00642D0A" w:rsidP="00642D0A">
            <w:pPr>
              <w:pStyle w:val="HSAGTableText"/>
              <w:rPr>
                <w:b/>
              </w:rPr>
            </w:pPr>
            <w:r w:rsidRPr="001408D5">
              <w:rPr>
                <w:b/>
              </w:rPr>
              <w:t>Required Actions:</w:t>
            </w:r>
            <w:r w:rsidRPr="001408D5">
              <w:t xml:space="preserve"> The PIHP must ensure that it has a process to disseminate the clinical practice guidelines to all affected providers upon adoption of the guidelines. </w:t>
            </w:r>
          </w:p>
        </w:tc>
      </w:tr>
      <w:tr w:rsidR="00642D0A" w:rsidRPr="00D16F05" w14:paraId="3935BA58" w14:textId="77777777" w:rsidTr="00591030">
        <w:tblPrEx>
          <w:tblCellMar>
            <w:left w:w="108" w:type="dxa"/>
            <w:right w:w="108" w:type="dxa"/>
          </w:tblCellMar>
        </w:tblPrEx>
        <w:trPr>
          <w:trHeight w:val="374"/>
          <w:jc w:val="center"/>
        </w:trPr>
        <w:tc>
          <w:tcPr>
            <w:tcW w:w="14011" w:type="dxa"/>
            <w:gridSpan w:val="4"/>
            <w:tcBorders>
              <w:top w:val="single" w:sz="4" w:space="0" w:color="auto"/>
              <w:bottom w:val="single" w:sz="4" w:space="0" w:color="000000" w:themeColor="text1"/>
            </w:tcBorders>
            <w:shd w:val="clear" w:color="auto" w:fill="F79548" w:themeFill="accent4"/>
          </w:tcPr>
          <w:p w14:paraId="7DD6EC57" w14:textId="77777777" w:rsidR="00642D0A" w:rsidRPr="00D16F05" w:rsidRDefault="00642D0A" w:rsidP="00642D0A">
            <w:pPr>
              <w:pStyle w:val="HSAGTableText"/>
              <w:keepNext/>
              <w:contextualSpacing/>
              <w:rPr>
                <w:b/>
              </w:rPr>
            </w:pPr>
            <w:r>
              <w:rPr>
                <w:b/>
              </w:rPr>
              <w:lastRenderedPageBreak/>
              <w:t>PIHP Corrective Action Plan</w:t>
            </w:r>
          </w:p>
        </w:tc>
      </w:tr>
      <w:tr w:rsidR="00642D0A" w:rsidRPr="00984D92" w14:paraId="2C7825DF" w14:textId="77777777" w:rsidTr="00591030">
        <w:tblPrEx>
          <w:tblCellMar>
            <w:left w:w="108" w:type="dxa"/>
            <w:right w:w="108" w:type="dxa"/>
          </w:tblCellMar>
        </w:tblPrEx>
        <w:trPr>
          <w:trHeight w:val="374"/>
          <w:jc w:val="center"/>
        </w:trPr>
        <w:tc>
          <w:tcPr>
            <w:tcW w:w="14011" w:type="dxa"/>
            <w:gridSpan w:val="4"/>
            <w:tcBorders>
              <w:top w:val="single" w:sz="4" w:space="0" w:color="000000"/>
              <w:bottom w:val="single" w:sz="4" w:space="0" w:color="000000" w:themeColor="text1"/>
            </w:tcBorders>
          </w:tcPr>
          <w:p w14:paraId="5D3A9BCE" w14:textId="63EAC25E" w:rsidR="00642D0A" w:rsidRPr="00984D92" w:rsidRDefault="00642D0A" w:rsidP="00642D0A">
            <w:pPr>
              <w:pStyle w:val="HSAGTableText"/>
              <w:contextualSpacing/>
              <w:rPr>
                <w:bCs/>
              </w:rPr>
            </w:pPr>
            <w:r>
              <w:rPr>
                <w:b/>
              </w:rPr>
              <w:t>Root Cause Analysis:</w:t>
            </w:r>
            <w:r w:rsidRPr="003F5489">
              <w:rPr>
                <w:bCs/>
              </w:rPr>
              <w:t xml:space="preserve"> </w:t>
            </w:r>
            <w:r w:rsidR="00A81EE8" w:rsidRPr="00A81EE8">
              <w:rPr>
                <w:bCs/>
              </w:rPr>
              <w:t>Miscommunication </w:t>
            </w:r>
          </w:p>
        </w:tc>
      </w:tr>
      <w:tr w:rsidR="00642D0A" w:rsidRPr="00FC2C0F" w14:paraId="11A8FEA5" w14:textId="77777777" w:rsidTr="00591030">
        <w:tblPrEx>
          <w:tblCellMar>
            <w:left w:w="108" w:type="dxa"/>
            <w:right w:w="108" w:type="dxa"/>
          </w:tblCellMar>
        </w:tblPrEx>
        <w:trPr>
          <w:trHeight w:val="374"/>
          <w:jc w:val="center"/>
        </w:trPr>
        <w:tc>
          <w:tcPr>
            <w:tcW w:w="14011" w:type="dxa"/>
            <w:gridSpan w:val="4"/>
            <w:tcBorders>
              <w:top w:val="single" w:sz="4" w:space="0" w:color="000000"/>
              <w:bottom w:val="single" w:sz="4" w:space="0" w:color="000000" w:themeColor="text1"/>
            </w:tcBorders>
          </w:tcPr>
          <w:p w14:paraId="1851B567" w14:textId="2606FF6F" w:rsidR="00642D0A" w:rsidRPr="00FC2C0F" w:rsidRDefault="00642D0A" w:rsidP="00642D0A">
            <w:pPr>
              <w:pStyle w:val="HSAGTableText"/>
              <w:contextualSpacing/>
              <w:rPr>
                <w:bCs/>
              </w:rPr>
            </w:pPr>
            <w:r>
              <w:rPr>
                <w:b/>
              </w:rPr>
              <w:t>PIHP Remediation Plan</w:t>
            </w:r>
            <w:r w:rsidRPr="00B30934">
              <w:rPr>
                <w:b/>
              </w:rPr>
              <w:t>:</w:t>
            </w:r>
            <w:r>
              <w:rPr>
                <w:bCs/>
              </w:rPr>
              <w:t xml:space="preserve"> </w:t>
            </w:r>
            <w:r w:rsidR="00A81EE8" w:rsidRPr="00A81EE8">
              <w:rPr>
                <w:bCs/>
              </w:rPr>
              <w:t>SUD providers have been invited to QOC meeting for review of Practice Guidelines that will occur in Spring of 2026.</w:t>
            </w:r>
          </w:p>
        </w:tc>
      </w:tr>
      <w:tr w:rsidR="00642D0A" w:rsidRPr="00FC2C0F" w14:paraId="2CBC37A5" w14:textId="77777777" w:rsidTr="00591030">
        <w:tblPrEx>
          <w:tblCellMar>
            <w:left w:w="108" w:type="dxa"/>
            <w:right w:w="108" w:type="dxa"/>
          </w:tblCellMar>
        </w:tblPrEx>
        <w:trPr>
          <w:trHeight w:val="374"/>
          <w:jc w:val="center"/>
        </w:trPr>
        <w:tc>
          <w:tcPr>
            <w:tcW w:w="14011" w:type="dxa"/>
            <w:gridSpan w:val="4"/>
            <w:tcBorders>
              <w:top w:val="single" w:sz="4" w:space="0" w:color="000000"/>
              <w:bottom w:val="single" w:sz="4" w:space="0" w:color="000000" w:themeColor="text1"/>
            </w:tcBorders>
          </w:tcPr>
          <w:p w14:paraId="1B3DCBB2" w14:textId="6255E4EA" w:rsidR="00642D0A" w:rsidRPr="00FC2C0F" w:rsidRDefault="00642D0A" w:rsidP="00642D0A">
            <w:pPr>
              <w:pStyle w:val="HSAGTableText"/>
              <w:contextualSpacing/>
              <w:rPr>
                <w:bCs/>
              </w:rPr>
            </w:pPr>
            <w:r w:rsidRPr="00B30934">
              <w:rPr>
                <w:b/>
              </w:rPr>
              <w:t>Responsible Individual(s):</w:t>
            </w:r>
            <w:r>
              <w:rPr>
                <w:bCs/>
              </w:rPr>
              <w:t xml:space="preserve"> </w:t>
            </w:r>
            <w:r w:rsidR="00A81EE8" w:rsidRPr="00A81EE8">
              <w:rPr>
                <w:bCs/>
              </w:rPr>
              <w:t>Branislava Arsenov, Chief Clinical Officer. </w:t>
            </w:r>
          </w:p>
        </w:tc>
      </w:tr>
      <w:tr w:rsidR="00642D0A" w:rsidRPr="00FC2C0F" w14:paraId="2453D663" w14:textId="77777777" w:rsidTr="00591030">
        <w:tblPrEx>
          <w:tblCellMar>
            <w:left w:w="108" w:type="dxa"/>
            <w:right w:w="108" w:type="dxa"/>
          </w:tblCellMar>
        </w:tblPrEx>
        <w:trPr>
          <w:trHeight w:val="374"/>
          <w:jc w:val="center"/>
        </w:trPr>
        <w:tc>
          <w:tcPr>
            <w:tcW w:w="14011" w:type="dxa"/>
            <w:gridSpan w:val="4"/>
            <w:tcBorders>
              <w:top w:val="single" w:sz="4" w:space="0" w:color="000000"/>
              <w:bottom w:val="single" w:sz="4" w:space="0" w:color="auto"/>
            </w:tcBorders>
          </w:tcPr>
          <w:p w14:paraId="4BAF6F76" w14:textId="72D7B86F" w:rsidR="00642D0A" w:rsidRPr="00FC2C0F" w:rsidRDefault="00642D0A" w:rsidP="00642D0A">
            <w:pPr>
              <w:pStyle w:val="HSAGTableText"/>
              <w:contextualSpacing/>
              <w:rPr>
                <w:bCs/>
              </w:rPr>
            </w:pPr>
            <w:r w:rsidRPr="00B30934">
              <w:rPr>
                <w:b/>
              </w:rPr>
              <w:t>Timeline:</w:t>
            </w:r>
            <w:r>
              <w:rPr>
                <w:bCs/>
              </w:rPr>
              <w:t xml:space="preserve"> </w:t>
            </w:r>
            <w:r w:rsidR="00A81EE8">
              <w:rPr>
                <w:bCs/>
              </w:rPr>
              <w:t>4/2026</w:t>
            </w:r>
          </w:p>
        </w:tc>
      </w:tr>
      <w:tr w:rsidR="00642D0A" w14:paraId="4A00B937" w14:textId="77777777" w:rsidTr="00591030">
        <w:tblPrEx>
          <w:tblCellMar>
            <w:left w:w="108" w:type="dxa"/>
            <w:right w:w="108" w:type="dxa"/>
          </w:tblCellMar>
        </w:tblPrEx>
        <w:trPr>
          <w:trHeight w:val="374"/>
          <w:jc w:val="center"/>
        </w:trPr>
        <w:tc>
          <w:tcPr>
            <w:tcW w:w="10435" w:type="dxa"/>
            <w:gridSpan w:val="2"/>
            <w:tcBorders>
              <w:top w:val="single" w:sz="4" w:space="0" w:color="auto"/>
              <w:bottom w:val="single" w:sz="4" w:space="0" w:color="auto"/>
            </w:tcBorders>
            <w:shd w:val="clear" w:color="auto" w:fill="F2F2F2" w:themeFill="background1" w:themeFillShade="F2"/>
          </w:tcPr>
          <w:p w14:paraId="3F54699C" w14:textId="0C0F7BB8" w:rsidR="00642D0A" w:rsidRPr="00FC2C0F" w:rsidRDefault="00642D0A" w:rsidP="00642D0A">
            <w:pPr>
              <w:pStyle w:val="HSAGTableText"/>
              <w:contextualSpacing/>
              <w:rPr>
                <w:bCs/>
              </w:rPr>
            </w:pPr>
            <w:r>
              <w:rPr>
                <w:b/>
              </w:rPr>
              <w:t>MDHHS/HSAG Response:</w:t>
            </w:r>
            <w:r>
              <w:rPr>
                <w:bCs/>
              </w:rPr>
              <w:t xml:space="preserve"> </w:t>
            </w:r>
            <w:r w:rsidR="00377433" w:rsidRPr="00377433">
              <w:rPr>
                <w:bCs/>
              </w:rPr>
              <w:t xml:space="preserve">The PIHP’s remediation plan is sufficient to ensure compliance with the requirements for this program area. However, the PIHP must ensure </w:t>
            </w:r>
            <w:r w:rsidR="00377433">
              <w:rPr>
                <w:bCs/>
              </w:rPr>
              <w:t>that it has an appropriate process in place to notify all affected providers when changes are made to the clinical practice guidelines</w:t>
            </w:r>
            <w:r w:rsidR="00377433" w:rsidRPr="00377433">
              <w:rPr>
                <w:bCs/>
              </w:rPr>
              <w:t xml:space="preserve">. While no additional information is required to be submitted at this time, the PIHP must proceed with </w:t>
            </w:r>
            <w:proofErr w:type="gramStart"/>
            <w:r w:rsidR="00377433" w:rsidRPr="00377433">
              <w:rPr>
                <w:bCs/>
              </w:rPr>
              <w:t>timely</w:t>
            </w:r>
            <w:proofErr w:type="gramEnd"/>
            <w:r w:rsidR="00377433" w:rsidRPr="00377433">
              <w:rPr>
                <w:bCs/>
              </w:rPr>
              <w:t xml:space="preserve"> implementation of its action plans. Please note, an </w:t>
            </w:r>
            <w:r w:rsidR="00377433" w:rsidRPr="00377433">
              <w:rPr>
                <w:bCs/>
                <w:i/>
                <w:iCs/>
              </w:rPr>
              <w:t xml:space="preserve">Accepted </w:t>
            </w:r>
            <w:proofErr w:type="gramStart"/>
            <w:r w:rsidR="00377433" w:rsidRPr="00377433">
              <w:rPr>
                <w:bCs/>
                <w:i/>
                <w:iCs/>
              </w:rPr>
              <w:t>With</w:t>
            </w:r>
            <w:proofErr w:type="gramEnd"/>
            <w:r w:rsidR="00377433" w:rsidRPr="00377433">
              <w:rPr>
                <w:bCs/>
                <w:i/>
                <w:iCs/>
              </w:rPr>
              <w:t xml:space="preserve"> Recommendation</w:t>
            </w:r>
            <w:r w:rsidR="00377433" w:rsidRPr="00377433">
              <w:rPr>
                <w:bCs/>
              </w:rPr>
              <w:t xml:space="preserve"> designation is not a guarantee of future compliance. Implementation of the PIHP’s action plans and demonstration of compliance will be assessed during future compliance review activities.</w:t>
            </w:r>
          </w:p>
        </w:tc>
        <w:tc>
          <w:tcPr>
            <w:tcW w:w="3576" w:type="dxa"/>
            <w:gridSpan w:val="2"/>
            <w:tcBorders>
              <w:top w:val="single" w:sz="4" w:space="0" w:color="auto"/>
              <w:bottom w:val="single" w:sz="4" w:space="0" w:color="auto"/>
            </w:tcBorders>
            <w:shd w:val="clear" w:color="auto" w:fill="F2F2F2" w:themeFill="background1" w:themeFillShade="F2"/>
          </w:tcPr>
          <w:p w14:paraId="246450C1" w14:textId="77777777" w:rsidR="00642D0A" w:rsidRPr="00C123EE" w:rsidRDefault="00000000" w:rsidP="00642D0A">
            <w:pPr>
              <w:pStyle w:val="HSAGTableText"/>
              <w:contextualSpacing/>
              <w:rPr>
                <w:bCs/>
              </w:rPr>
            </w:pPr>
            <w:sdt>
              <w:sdtPr>
                <w:rPr>
                  <w:bCs/>
                </w:rPr>
                <w:id w:val="-1566556025"/>
                <w14:checkbox>
                  <w14:checked w14:val="0"/>
                  <w14:checkedState w14:val="2612" w14:font="MS Gothic"/>
                  <w14:uncheckedState w14:val="2610" w14:font="MS Gothic"/>
                </w14:checkbox>
              </w:sdtPr>
              <w:sdtContent>
                <w:r w:rsidR="00642D0A" w:rsidRPr="00C123EE">
                  <w:rPr>
                    <w:rFonts w:ascii="MS Gothic" w:eastAsia="MS Gothic" w:hAnsi="MS Gothic" w:hint="eastAsia"/>
                    <w:bCs/>
                  </w:rPr>
                  <w:t>☐</w:t>
                </w:r>
              </w:sdtContent>
            </w:sdt>
            <w:r w:rsidR="00642D0A" w:rsidRPr="00C123EE">
              <w:rPr>
                <w:bCs/>
              </w:rPr>
              <w:t xml:space="preserve"> Accepted</w:t>
            </w:r>
          </w:p>
          <w:p w14:paraId="377AAFBD" w14:textId="00F33182" w:rsidR="00642D0A" w:rsidRPr="00C123EE" w:rsidRDefault="00000000" w:rsidP="00642D0A">
            <w:pPr>
              <w:pStyle w:val="HSAGTableText"/>
              <w:contextualSpacing/>
              <w:rPr>
                <w:bCs/>
              </w:rPr>
            </w:pPr>
            <w:sdt>
              <w:sdtPr>
                <w:rPr>
                  <w:bCs/>
                </w:rPr>
                <w:id w:val="-845705556"/>
                <w14:checkbox>
                  <w14:checked w14:val="1"/>
                  <w14:checkedState w14:val="2612" w14:font="MS Gothic"/>
                  <w14:uncheckedState w14:val="2610" w14:font="MS Gothic"/>
                </w14:checkbox>
              </w:sdtPr>
              <w:sdtContent>
                <w:r w:rsidR="00377433">
                  <w:rPr>
                    <w:rFonts w:ascii="MS Gothic" w:eastAsia="MS Gothic" w:hAnsi="MS Gothic" w:hint="eastAsia"/>
                    <w:bCs/>
                  </w:rPr>
                  <w:t>☒</w:t>
                </w:r>
              </w:sdtContent>
            </w:sdt>
            <w:r w:rsidR="00642D0A" w:rsidRPr="00C123EE">
              <w:rPr>
                <w:bCs/>
              </w:rPr>
              <w:t xml:space="preserve"> Accepted </w:t>
            </w:r>
            <w:r w:rsidR="00642D0A">
              <w:rPr>
                <w:bCs/>
              </w:rPr>
              <w:t>W</w:t>
            </w:r>
            <w:r w:rsidR="00642D0A" w:rsidRPr="00C123EE">
              <w:rPr>
                <w:bCs/>
              </w:rPr>
              <w:t>ith Recommendations</w:t>
            </w:r>
          </w:p>
          <w:p w14:paraId="78B4C544" w14:textId="77777777" w:rsidR="00642D0A" w:rsidRDefault="00000000" w:rsidP="00642D0A">
            <w:pPr>
              <w:pStyle w:val="HSAGTableText"/>
              <w:contextualSpacing/>
              <w:rPr>
                <w:b/>
              </w:rPr>
            </w:pPr>
            <w:sdt>
              <w:sdtPr>
                <w:rPr>
                  <w:bCs/>
                </w:rPr>
                <w:id w:val="-1381233824"/>
                <w14:checkbox>
                  <w14:checked w14:val="0"/>
                  <w14:checkedState w14:val="2612" w14:font="MS Gothic"/>
                  <w14:uncheckedState w14:val="2610" w14:font="MS Gothic"/>
                </w14:checkbox>
              </w:sdtPr>
              <w:sdtContent>
                <w:r w:rsidR="00642D0A" w:rsidRPr="00C123EE">
                  <w:rPr>
                    <w:rFonts w:ascii="MS Gothic" w:eastAsia="MS Gothic" w:hAnsi="MS Gothic" w:hint="eastAsia"/>
                    <w:bCs/>
                  </w:rPr>
                  <w:t>☐</w:t>
                </w:r>
              </w:sdtContent>
            </w:sdt>
            <w:r w:rsidR="00642D0A" w:rsidRPr="00C123EE">
              <w:rPr>
                <w:bCs/>
              </w:rPr>
              <w:t xml:space="preserve"> Not Accepted</w:t>
            </w:r>
          </w:p>
        </w:tc>
      </w:tr>
    </w:tbl>
    <w:p w14:paraId="18CE4208" w14:textId="77777777" w:rsidR="00642D0A" w:rsidRPr="0065503C" w:rsidRDefault="00642D0A" w:rsidP="00642D0A"/>
    <w:p w14:paraId="5DCDE4D3" w14:textId="741C5880" w:rsidR="006E3E9C" w:rsidRDefault="006E3E9C">
      <w:pPr>
        <w:spacing w:before="0" w:after="200" w:line="276" w:lineRule="auto"/>
      </w:pPr>
      <w:r>
        <w:br w:type="page"/>
      </w:r>
    </w:p>
    <w:p w14:paraId="50EF006A" w14:textId="4FB601F8" w:rsidR="000D2CBB" w:rsidRPr="00916120" w:rsidRDefault="002E509C" w:rsidP="000D2CBB">
      <w:pPr>
        <w:pStyle w:val="Heading2"/>
        <w:pageBreakBefore/>
        <w:rPr>
          <w:sz w:val="28"/>
        </w:rPr>
      </w:pPr>
      <w:r w:rsidRPr="001408D5">
        <w:rPr>
          <w:sz w:val="28"/>
        </w:rPr>
        <w:lastRenderedPageBreak/>
        <w:t>Standard XII—Health Information Systems</w:t>
      </w:r>
    </w:p>
    <w:tbl>
      <w:tblPr>
        <w:tblW w:w="14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475"/>
        <w:gridCol w:w="3960"/>
        <w:gridCol w:w="2160"/>
        <w:gridCol w:w="1416"/>
      </w:tblGrid>
      <w:tr w:rsidR="000D2CBB" w:rsidRPr="00903F99" w14:paraId="39443B0B" w14:textId="77777777" w:rsidTr="00591030">
        <w:trPr>
          <w:trHeight w:val="374"/>
          <w:tblHeader/>
          <w:jc w:val="center"/>
        </w:trPr>
        <w:tc>
          <w:tcPr>
            <w:tcW w:w="14011" w:type="dxa"/>
            <w:gridSpan w:val="4"/>
            <w:shd w:val="clear" w:color="auto" w:fill="00549E"/>
            <w:vAlign w:val="center"/>
            <w:hideMark/>
          </w:tcPr>
          <w:p w14:paraId="7BEFCACE" w14:textId="26C9C4E1" w:rsidR="000D2CBB" w:rsidRPr="00903F99" w:rsidRDefault="002E509C" w:rsidP="00591030">
            <w:pPr>
              <w:pStyle w:val="HSAGTableHeading"/>
              <w:spacing w:before="0" w:after="0"/>
              <w:contextualSpacing/>
            </w:pPr>
            <w:r w:rsidRPr="001408D5">
              <w:t>Standard XII—Health Information Systems</w:t>
            </w:r>
          </w:p>
        </w:tc>
      </w:tr>
      <w:tr w:rsidR="000D2CBB" w:rsidRPr="0026679F" w14:paraId="5E81709E" w14:textId="77777777" w:rsidTr="00591030">
        <w:trPr>
          <w:trHeight w:val="374"/>
          <w:tblHeader/>
          <w:jc w:val="center"/>
        </w:trPr>
        <w:tc>
          <w:tcPr>
            <w:tcW w:w="6475" w:type="dxa"/>
            <w:shd w:val="clear" w:color="auto" w:fill="DFECF7"/>
            <w:vAlign w:val="center"/>
            <w:hideMark/>
          </w:tcPr>
          <w:p w14:paraId="0999F8BB" w14:textId="77777777" w:rsidR="000D2CBB" w:rsidRPr="0026679F" w:rsidRDefault="000D2CBB" w:rsidP="00591030">
            <w:pPr>
              <w:pStyle w:val="HSAGTableHeading"/>
              <w:rPr>
                <w:color w:val="auto"/>
              </w:rPr>
            </w:pPr>
            <w:r w:rsidRPr="0026679F">
              <w:rPr>
                <w:color w:val="auto"/>
              </w:rPr>
              <w:t>Requirement</w:t>
            </w:r>
          </w:p>
        </w:tc>
        <w:tc>
          <w:tcPr>
            <w:tcW w:w="6120" w:type="dxa"/>
            <w:gridSpan w:val="2"/>
            <w:shd w:val="clear" w:color="auto" w:fill="DFECF7"/>
            <w:vAlign w:val="center"/>
            <w:hideMark/>
          </w:tcPr>
          <w:p w14:paraId="72E7C857" w14:textId="77777777" w:rsidR="000D2CBB" w:rsidRPr="0026679F" w:rsidRDefault="000D2CBB" w:rsidP="00591030">
            <w:pPr>
              <w:pStyle w:val="HSAGTableHeading"/>
              <w:rPr>
                <w:color w:val="auto"/>
              </w:rPr>
            </w:pPr>
            <w:r w:rsidRPr="0026679F">
              <w:rPr>
                <w:color w:val="auto"/>
              </w:rPr>
              <w:t>Supporting Documentation</w:t>
            </w:r>
          </w:p>
        </w:tc>
        <w:tc>
          <w:tcPr>
            <w:tcW w:w="1416" w:type="dxa"/>
            <w:shd w:val="clear" w:color="auto" w:fill="DFECF7"/>
            <w:vAlign w:val="center"/>
            <w:hideMark/>
          </w:tcPr>
          <w:p w14:paraId="40FDAA77" w14:textId="77777777" w:rsidR="000D2CBB" w:rsidRPr="0026679F" w:rsidRDefault="000D2CBB" w:rsidP="00591030">
            <w:pPr>
              <w:pStyle w:val="HSAGTableHeading"/>
              <w:rPr>
                <w:color w:val="auto"/>
              </w:rPr>
            </w:pPr>
            <w:r w:rsidRPr="0026679F">
              <w:rPr>
                <w:color w:val="auto"/>
              </w:rPr>
              <w:t>Score</w:t>
            </w:r>
          </w:p>
        </w:tc>
      </w:tr>
      <w:tr w:rsidR="00286E4E" w:rsidRPr="0026679F" w14:paraId="133A1416" w14:textId="77777777" w:rsidTr="00286E4E">
        <w:trPr>
          <w:trHeight w:val="374"/>
          <w:tblHeader/>
          <w:jc w:val="center"/>
        </w:trPr>
        <w:tc>
          <w:tcPr>
            <w:tcW w:w="6475" w:type="dxa"/>
            <w:shd w:val="clear" w:color="auto" w:fill="D9D9D9"/>
            <w:vAlign w:val="center"/>
          </w:tcPr>
          <w:p w14:paraId="35BD3E72" w14:textId="6DDD66D9" w:rsidR="00286E4E" w:rsidRPr="0026679F" w:rsidRDefault="00286E4E" w:rsidP="00286E4E">
            <w:pPr>
              <w:pStyle w:val="HSAGTableHeading"/>
              <w:rPr>
                <w:color w:val="auto"/>
              </w:rPr>
            </w:pPr>
            <w:r w:rsidRPr="001408D5">
              <w:rPr>
                <w:color w:val="auto"/>
              </w:rPr>
              <w:t xml:space="preserve">Application Programming Interface </w:t>
            </w:r>
          </w:p>
        </w:tc>
        <w:tc>
          <w:tcPr>
            <w:tcW w:w="6120" w:type="dxa"/>
            <w:gridSpan w:val="2"/>
            <w:shd w:val="clear" w:color="auto" w:fill="D9D9D9"/>
          </w:tcPr>
          <w:p w14:paraId="381177E0" w14:textId="77777777" w:rsidR="00286E4E" w:rsidRPr="0026679F" w:rsidRDefault="00286E4E" w:rsidP="00286E4E">
            <w:pPr>
              <w:pStyle w:val="HSAGTableHeading"/>
              <w:rPr>
                <w:color w:val="auto"/>
              </w:rPr>
            </w:pPr>
          </w:p>
        </w:tc>
        <w:tc>
          <w:tcPr>
            <w:tcW w:w="1416" w:type="dxa"/>
            <w:shd w:val="clear" w:color="auto" w:fill="D9D9D9"/>
          </w:tcPr>
          <w:p w14:paraId="1130ABC3" w14:textId="77777777" w:rsidR="00286E4E" w:rsidRPr="0026679F" w:rsidRDefault="00286E4E" w:rsidP="00286E4E">
            <w:pPr>
              <w:pStyle w:val="HSAGTableHeading"/>
              <w:rPr>
                <w:color w:val="auto"/>
              </w:rPr>
            </w:pPr>
          </w:p>
        </w:tc>
      </w:tr>
      <w:tr w:rsidR="00286E4E" w:rsidRPr="00903F99" w14:paraId="0FFAD02F" w14:textId="77777777" w:rsidTr="00591030">
        <w:trPr>
          <w:trHeight w:val="374"/>
          <w:jc w:val="center"/>
        </w:trPr>
        <w:tc>
          <w:tcPr>
            <w:tcW w:w="6475" w:type="dxa"/>
            <w:vMerge w:val="restart"/>
          </w:tcPr>
          <w:p w14:paraId="7FEF560B" w14:textId="77777777" w:rsidR="00286E4E" w:rsidRPr="001408D5" w:rsidRDefault="00286E4E" w:rsidP="00286E4E">
            <w:pPr>
              <w:pStyle w:val="ListNoNum"/>
              <w:rPr>
                <w:rFonts w:eastAsiaTheme="minorHAnsi"/>
                <w:szCs w:val="22"/>
              </w:rPr>
            </w:pPr>
            <w:r w:rsidRPr="001408D5">
              <w:rPr>
                <w:spacing w:val="-4"/>
              </w:rPr>
              <w:t>6.</w:t>
            </w:r>
            <w:r w:rsidRPr="001408D5">
              <w:rPr>
                <w:spacing w:val="-4"/>
              </w:rPr>
              <w:tab/>
            </w:r>
            <w:r w:rsidRPr="001408D5">
              <w:rPr>
                <w:rFonts w:eastAsiaTheme="minorHAnsi"/>
                <w:szCs w:val="22"/>
              </w:rPr>
              <w:t>The PIHP implements and maintains an Application Programming Interface (API) as specified in 42 CFR §431.60 (member access to and exchange of data) as if such requirements applied directly to the PIHP. Information is made accessible to its current members or the members’ personal representatives through the API as follows:</w:t>
            </w:r>
          </w:p>
          <w:p w14:paraId="1BC4EEB1" w14:textId="77777777" w:rsidR="00286E4E" w:rsidRPr="001408D5" w:rsidRDefault="00286E4E" w:rsidP="00286E4E">
            <w:pPr>
              <w:pStyle w:val="ListNoNum2"/>
              <w:rPr>
                <w:rFonts w:eastAsiaTheme="minorHAnsi"/>
              </w:rPr>
            </w:pPr>
            <w:r w:rsidRPr="001408D5">
              <w:t>a</w:t>
            </w:r>
            <w:proofErr w:type="gramStart"/>
            <w:r w:rsidRPr="001408D5">
              <w:t xml:space="preserve">. </w:t>
            </w:r>
            <w:r w:rsidRPr="001408D5">
              <w:tab/>
            </w:r>
            <w:r w:rsidRPr="001408D5">
              <w:rPr>
                <w:rFonts w:eastAsiaTheme="minorHAnsi"/>
              </w:rPr>
              <w:t>Data</w:t>
            </w:r>
            <w:proofErr w:type="gramEnd"/>
            <w:r w:rsidRPr="001408D5">
              <w:rPr>
                <w:rFonts w:eastAsiaTheme="minorHAnsi"/>
              </w:rPr>
              <w:t xml:space="preserve"> concerning adjudicated claims, including claims data for payment decisions that may be appealed, were appealed, or are in the process of appeal, and provider remittances and member cost-sharing pertaining to such claims, no later than one business day after a claim is processed.</w:t>
            </w:r>
          </w:p>
          <w:p w14:paraId="6D05B82B" w14:textId="77777777" w:rsidR="00286E4E" w:rsidRPr="001408D5" w:rsidRDefault="00286E4E" w:rsidP="00286E4E">
            <w:pPr>
              <w:pStyle w:val="ListNoNum2"/>
              <w:rPr>
                <w:rFonts w:eastAsiaTheme="minorHAnsi"/>
              </w:rPr>
            </w:pPr>
            <w:r w:rsidRPr="001408D5">
              <w:t>b</w:t>
            </w:r>
            <w:proofErr w:type="gramStart"/>
            <w:r w:rsidRPr="001408D5">
              <w:t xml:space="preserve">. </w:t>
            </w:r>
            <w:r w:rsidRPr="001408D5">
              <w:tab/>
            </w:r>
            <w:r w:rsidRPr="001408D5">
              <w:rPr>
                <w:rFonts w:eastAsiaTheme="minorHAnsi"/>
              </w:rPr>
              <w:t>Encounter</w:t>
            </w:r>
            <w:proofErr w:type="gramEnd"/>
            <w:r w:rsidRPr="001408D5">
              <w:rPr>
                <w:rFonts w:eastAsiaTheme="minorHAnsi"/>
              </w:rPr>
              <w:t xml:space="preserve"> data no later than one business day after receiving the data from providers compensated </w:t>
            </w:r>
            <w:proofErr w:type="gramStart"/>
            <w:r w:rsidRPr="001408D5">
              <w:rPr>
                <w:rFonts w:eastAsiaTheme="minorHAnsi"/>
              </w:rPr>
              <w:t>on the basis of</w:t>
            </w:r>
            <w:proofErr w:type="gramEnd"/>
            <w:r w:rsidRPr="001408D5">
              <w:rPr>
                <w:rFonts w:eastAsiaTheme="minorHAnsi"/>
              </w:rPr>
              <w:t xml:space="preserve"> capitation payments.</w:t>
            </w:r>
          </w:p>
          <w:p w14:paraId="0F77287C" w14:textId="77777777" w:rsidR="00286E4E" w:rsidRPr="001408D5" w:rsidRDefault="00286E4E" w:rsidP="00286E4E">
            <w:pPr>
              <w:pStyle w:val="ListNoNum2"/>
              <w:rPr>
                <w:rFonts w:eastAsiaTheme="minorHAnsi"/>
              </w:rPr>
            </w:pPr>
            <w:r w:rsidRPr="001408D5">
              <w:t xml:space="preserve">c. </w:t>
            </w:r>
            <w:r w:rsidRPr="001408D5">
              <w:tab/>
            </w:r>
            <w:r w:rsidRPr="001408D5">
              <w:rPr>
                <w:rFonts w:eastAsiaTheme="minorHAnsi"/>
              </w:rPr>
              <w:t>All data classes and data elements included in a content standard in 45 CFR §170.213 (United States Core Data for Interoperability [USCDI]) that are maintained by the PIHP no later than one business day after the PIHP receives the data.</w:t>
            </w:r>
          </w:p>
          <w:p w14:paraId="6958CF06" w14:textId="77777777" w:rsidR="00286E4E" w:rsidRPr="001408D5" w:rsidRDefault="00286E4E" w:rsidP="00286E4E">
            <w:pPr>
              <w:pStyle w:val="ListNoNum2"/>
              <w:rPr>
                <w:rFonts w:eastAsiaTheme="minorHAnsi"/>
              </w:rPr>
            </w:pPr>
            <w:r w:rsidRPr="001408D5">
              <w:t xml:space="preserve">d. </w:t>
            </w:r>
            <w:r w:rsidRPr="001408D5">
              <w:tab/>
              <w:t>Information</w:t>
            </w:r>
            <w:r w:rsidRPr="001408D5">
              <w:rPr>
                <w:rFonts w:eastAsiaTheme="minorHAnsi"/>
              </w:rPr>
              <w:t xml:space="preserve"> about covered outpatient drugs and updates to such information, including, where applicable, preferred drug list information, no later than one business day after the effective date of any such information or updates to such information.</w:t>
            </w:r>
          </w:p>
          <w:p w14:paraId="0F0AF8F1" w14:textId="77777777" w:rsidR="00286E4E" w:rsidRPr="001408D5" w:rsidRDefault="00286E4E" w:rsidP="00286E4E">
            <w:pPr>
              <w:pStyle w:val="ListParagraph"/>
              <w:spacing w:after="60"/>
              <w:ind w:left="1080"/>
              <w:jc w:val="right"/>
              <w:rPr>
                <w:sz w:val="18"/>
                <w:szCs w:val="18"/>
              </w:rPr>
            </w:pPr>
          </w:p>
          <w:p w14:paraId="32FCEE46" w14:textId="77777777" w:rsidR="00286E4E" w:rsidRPr="001408D5" w:rsidRDefault="00286E4E" w:rsidP="00286E4E">
            <w:pPr>
              <w:pStyle w:val="HSAGTableContracttext"/>
              <w:rPr>
                <w:color w:val="auto"/>
              </w:rPr>
            </w:pPr>
            <w:r w:rsidRPr="001408D5">
              <w:rPr>
                <w:color w:val="auto"/>
              </w:rPr>
              <w:t>42 CFR §438.242(b)(5)</w:t>
            </w:r>
          </w:p>
          <w:p w14:paraId="2C4DBA2A" w14:textId="77777777" w:rsidR="00286E4E" w:rsidRPr="001408D5" w:rsidRDefault="00286E4E" w:rsidP="00286E4E">
            <w:pPr>
              <w:pStyle w:val="HSAGTableContracttext"/>
              <w:rPr>
                <w:color w:val="auto"/>
              </w:rPr>
            </w:pPr>
            <w:r w:rsidRPr="001408D5">
              <w:rPr>
                <w:color w:val="auto"/>
              </w:rPr>
              <w:t>42 CFR §431.60</w:t>
            </w:r>
          </w:p>
          <w:p w14:paraId="3CEBA2B8" w14:textId="77777777" w:rsidR="00286E4E" w:rsidRPr="001408D5" w:rsidRDefault="00286E4E" w:rsidP="00286E4E">
            <w:pPr>
              <w:pStyle w:val="HSAGTableContracttext"/>
              <w:rPr>
                <w:color w:val="auto"/>
              </w:rPr>
            </w:pPr>
            <w:r w:rsidRPr="001408D5">
              <w:rPr>
                <w:color w:val="auto"/>
              </w:rPr>
              <w:lastRenderedPageBreak/>
              <w:t>42 CFR §457.1233(d)</w:t>
            </w:r>
          </w:p>
          <w:p w14:paraId="36CE2EEE" w14:textId="77777777" w:rsidR="00286E4E" w:rsidRPr="001408D5" w:rsidRDefault="00286E4E" w:rsidP="00286E4E">
            <w:pPr>
              <w:pStyle w:val="HSAGTableContracttext"/>
              <w:rPr>
                <w:color w:val="auto"/>
              </w:rPr>
            </w:pPr>
            <w:r w:rsidRPr="001408D5">
              <w:rPr>
                <w:color w:val="auto"/>
              </w:rPr>
              <w:t>45 CFR §170.213</w:t>
            </w:r>
          </w:p>
          <w:p w14:paraId="26CA51FD" w14:textId="1EEB423F" w:rsidR="00286E4E" w:rsidRPr="00903F99" w:rsidRDefault="00286E4E" w:rsidP="00286E4E">
            <w:pPr>
              <w:pStyle w:val="HSAGTableContracttext"/>
              <w:keepNext/>
              <w:spacing w:before="0" w:after="0"/>
              <w:ind w:left="1440"/>
              <w:contextualSpacing/>
              <w:rPr>
                <w:i/>
                <w:szCs w:val="18"/>
              </w:rPr>
            </w:pPr>
            <w:r w:rsidRPr="001408D5">
              <w:rPr>
                <w:color w:val="auto"/>
              </w:rPr>
              <w:t>Contract Schedule A—1(R)(18)</w:t>
            </w:r>
          </w:p>
        </w:tc>
        <w:tc>
          <w:tcPr>
            <w:tcW w:w="6120" w:type="dxa"/>
            <w:gridSpan w:val="2"/>
            <w:shd w:val="clear" w:color="auto" w:fill="FFFFFF" w:themeFill="background1"/>
          </w:tcPr>
          <w:p w14:paraId="42591FF0" w14:textId="77777777" w:rsidR="00286E4E" w:rsidRPr="001408D5" w:rsidRDefault="00286E4E" w:rsidP="00286E4E">
            <w:pPr>
              <w:pStyle w:val="HSAGTableText"/>
              <w:contextualSpacing/>
              <w:rPr>
                <w:b/>
                <w:bCs/>
                <w:color w:val="auto"/>
              </w:rPr>
            </w:pPr>
            <w:r w:rsidRPr="001408D5">
              <w:rPr>
                <w:b/>
                <w:bCs/>
                <w:color w:val="auto"/>
              </w:rPr>
              <w:lastRenderedPageBreak/>
              <w:t>HSAG Required Evidence:</w:t>
            </w:r>
          </w:p>
          <w:p w14:paraId="702B04BD" w14:textId="77777777" w:rsidR="00286E4E" w:rsidRPr="001408D5" w:rsidRDefault="00286E4E" w:rsidP="00595A8D">
            <w:pPr>
              <w:pStyle w:val="HSAGTableText"/>
              <w:numPr>
                <w:ilvl w:val="0"/>
                <w:numId w:val="19"/>
              </w:numPr>
              <w:spacing w:after="0"/>
              <w:contextualSpacing/>
              <w:rPr>
                <w:color w:val="auto"/>
              </w:rPr>
            </w:pPr>
            <w:r w:rsidRPr="001408D5">
              <w:rPr>
                <w:color w:val="auto"/>
              </w:rPr>
              <w:t>Policies, procedures, and workflows</w:t>
            </w:r>
          </w:p>
          <w:p w14:paraId="3D61BC99" w14:textId="77777777" w:rsidR="00286E4E" w:rsidRPr="001408D5" w:rsidRDefault="00286E4E" w:rsidP="00595A8D">
            <w:pPr>
              <w:pStyle w:val="HSAGTableText"/>
              <w:numPr>
                <w:ilvl w:val="0"/>
                <w:numId w:val="19"/>
              </w:numPr>
              <w:spacing w:after="0"/>
              <w:contextualSpacing/>
              <w:rPr>
                <w:color w:val="auto"/>
              </w:rPr>
            </w:pPr>
            <w:r w:rsidRPr="001408D5">
              <w:rPr>
                <w:color w:val="auto"/>
              </w:rPr>
              <w:t xml:space="preserve">API documentation such as project plan(s), testing and monitoring plan/results </w:t>
            </w:r>
          </w:p>
          <w:p w14:paraId="698D0FD3" w14:textId="77777777" w:rsidR="00286E4E" w:rsidRPr="001408D5" w:rsidRDefault="00286E4E" w:rsidP="00595A8D">
            <w:pPr>
              <w:pStyle w:val="HSAGTableText"/>
              <w:numPr>
                <w:ilvl w:val="0"/>
                <w:numId w:val="19"/>
              </w:numPr>
              <w:spacing w:after="0"/>
              <w:contextualSpacing/>
              <w:rPr>
                <w:color w:val="auto"/>
              </w:rPr>
            </w:pPr>
            <w:r w:rsidRPr="001408D5">
              <w:rPr>
                <w:color w:val="auto"/>
              </w:rPr>
              <w:t>Member educational materials, website materials, etc.</w:t>
            </w:r>
          </w:p>
          <w:p w14:paraId="63A4EE1D" w14:textId="77777777" w:rsidR="00286E4E" w:rsidRPr="001408D5" w:rsidRDefault="00286E4E" w:rsidP="00595A8D">
            <w:pPr>
              <w:pStyle w:val="HSAGTableText"/>
              <w:numPr>
                <w:ilvl w:val="0"/>
                <w:numId w:val="19"/>
              </w:numPr>
              <w:spacing w:after="0"/>
              <w:contextualSpacing/>
              <w:rPr>
                <w:color w:val="auto"/>
              </w:rPr>
            </w:pPr>
            <w:r w:rsidRPr="001408D5">
              <w:rPr>
                <w:color w:val="auto"/>
              </w:rPr>
              <w:t xml:space="preserve">Informational materials for developers on </w:t>
            </w:r>
            <w:proofErr w:type="gramStart"/>
            <w:r w:rsidRPr="001408D5">
              <w:rPr>
                <w:color w:val="auto"/>
              </w:rPr>
              <w:t>website</w:t>
            </w:r>
            <w:proofErr w:type="gramEnd"/>
          </w:p>
          <w:p w14:paraId="494FADEB" w14:textId="77777777" w:rsidR="00286E4E" w:rsidRPr="001408D5" w:rsidRDefault="00286E4E" w:rsidP="00595A8D">
            <w:pPr>
              <w:pStyle w:val="HSAGTableText"/>
              <w:numPr>
                <w:ilvl w:val="0"/>
                <w:numId w:val="19"/>
              </w:numPr>
              <w:spacing w:after="0"/>
              <w:contextualSpacing/>
              <w:rPr>
                <w:color w:val="auto"/>
              </w:rPr>
            </w:pPr>
            <w:r w:rsidRPr="001408D5">
              <w:rPr>
                <w:color w:val="auto"/>
              </w:rPr>
              <w:t>Programming language that includes required information (e.g., parameters for claims, USCDI data elements)</w:t>
            </w:r>
          </w:p>
          <w:p w14:paraId="10CFF2FB" w14:textId="77777777" w:rsidR="00286E4E" w:rsidRPr="001408D5" w:rsidRDefault="00286E4E" w:rsidP="00595A8D">
            <w:pPr>
              <w:pStyle w:val="HSAGTableText"/>
              <w:numPr>
                <w:ilvl w:val="0"/>
                <w:numId w:val="19"/>
              </w:numPr>
              <w:spacing w:after="0"/>
              <w:contextualSpacing/>
              <w:rPr>
                <w:color w:val="auto"/>
              </w:rPr>
            </w:pPr>
            <w:r w:rsidRPr="001408D5">
              <w:rPr>
                <w:color w:val="auto"/>
              </w:rPr>
              <w:t>Mechanisms to ensure data is updated within one business day of receipt</w:t>
            </w:r>
          </w:p>
          <w:p w14:paraId="601AEE2A" w14:textId="77777777" w:rsidR="00286E4E" w:rsidRDefault="00286E4E" w:rsidP="00595A8D">
            <w:pPr>
              <w:pStyle w:val="HSAGTableText"/>
              <w:numPr>
                <w:ilvl w:val="0"/>
                <w:numId w:val="19"/>
              </w:numPr>
              <w:spacing w:after="0"/>
              <w:contextualSpacing/>
              <w:rPr>
                <w:color w:val="auto"/>
              </w:rPr>
            </w:pPr>
            <w:r w:rsidRPr="001408D5">
              <w:rPr>
                <w:color w:val="auto"/>
              </w:rPr>
              <w:t xml:space="preserve">List of registered third-party applications </w:t>
            </w:r>
          </w:p>
          <w:p w14:paraId="3AB822AA" w14:textId="540F0AB7" w:rsidR="00286E4E" w:rsidRPr="00286E4E" w:rsidRDefault="00286E4E" w:rsidP="00595A8D">
            <w:pPr>
              <w:pStyle w:val="HSAGTableText"/>
              <w:numPr>
                <w:ilvl w:val="0"/>
                <w:numId w:val="19"/>
              </w:numPr>
              <w:spacing w:after="0"/>
              <w:contextualSpacing/>
              <w:rPr>
                <w:color w:val="auto"/>
              </w:rPr>
            </w:pPr>
            <w:r w:rsidRPr="00286E4E">
              <w:rPr>
                <w:color w:val="auto"/>
              </w:rPr>
              <w:t>HSAG will use the results from the API demonstration</w:t>
            </w:r>
          </w:p>
        </w:tc>
        <w:tc>
          <w:tcPr>
            <w:tcW w:w="1416" w:type="dxa"/>
            <w:vMerge w:val="restart"/>
            <w:shd w:val="clear" w:color="auto" w:fill="FFFFFF" w:themeFill="background1"/>
          </w:tcPr>
          <w:p w14:paraId="2D99A661" w14:textId="77777777" w:rsidR="00286E4E" w:rsidRPr="001408D5" w:rsidRDefault="00000000" w:rsidP="00286E4E">
            <w:pPr>
              <w:spacing w:before="60" w:after="0"/>
              <w:contextualSpacing/>
              <w:rPr>
                <w:sz w:val="22"/>
              </w:rPr>
            </w:pPr>
            <w:sdt>
              <w:sdtPr>
                <w:rPr>
                  <w:sz w:val="22"/>
                </w:rPr>
                <w:id w:val="-351340767"/>
                <w14:checkbox>
                  <w14:checked w14:val="0"/>
                  <w14:checkedState w14:val="2612" w14:font="MS Gothic"/>
                  <w14:uncheckedState w14:val="2610" w14:font="MS Gothic"/>
                </w14:checkbox>
              </w:sdtPr>
              <w:sdtContent>
                <w:r w:rsidR="00286E4E" w:rsidRPr="001408D5">
                  <w:rPr>
                    <w:rFonts w:ascii="MS Gothic" w:eastAsia="MS Gothic" w:hAnsi="MS Gothic" w:hint="eastAsia"/>
                    <w:sz w:val="22"/>
                  </w:rPr>
                  <w:t>☐</w:t>
                </w:r>
              </w:sdtContent>
            </w:sdt>
            <w:r w:rsidR="00286E4E" w:rsidRPr="001408D5">
              <w:rPr>
                <w:sz w:val="22"/>
              </w:rPr>
              <w:t xml:space="preserve"> Met</w:t>
            </w:r>
          </w:p>
          <w:p w14:paraId="7A90ACF4" w14:textId="77777777" w:rsidR="00286E4E" w:rsidRPr="001408D5" w:rsidRDefault="00000000" w:rsidP="00286E4E">
            <w:pPr>
              <w:spacing w:before="60" w:after="0"/>
              <w:contextualSpacing/>
              <w:rPr>
                <w:sz w:val="22"/>
              </w:rPr>
            </w:pPr>
            <w:sdt>
              <w:sdtPr>
                <w:rPr>
                  <w:sz w:val="22"/>
                </w:rPr>
                <w:id w:val="733274037"/>
                <w14:checkbox>
                  <w14:checked w14:val="1"/>
                  <w14:checkedState w14:val="2612" w14:font="MS Gothic"/>
                  <w14:uncheckedState w14:val="2610" w14:font="MS Gothic"/>
                </w14:checkbox>
              </w:sdtPr>
              <w:sdtContent>
                <w:r w:rsidR="00286E4E" w:rsidRPr="001408D5">
                  <w:rPr>
                    <w:rFonts w:ascii="MS Gothic" w:eastAsia="MS Gothic" w:hAnsi="MS Gothic" w:hint="eastAsia"/>
                    <w:sz w:val="22"/>
                  </w:rPr>
                  <w:t>☒</w:t>
                </w:r>
              </w:sdtContent>
            </w:sdt>
            <w:r w:rsidR="00286E4E" w:rsidRPr="001408D5">
              <w:rPr>
                <w:sz w:val="22"/>
              </w:rPr>
              <w:t xml:space="preserve"> Not Met</w:t>
            </w:r>
          </w:p>
          <w:p w14:paraId="1B48050E" w14:textId="77777777" w:rsidR="00286E4E" w:rsidRPr="001408D5" w:rsidRDefault="00000000" w:rsidP="00286E4E">
            <w:pPr>
              <w:spacing w:before="60" w:after="0"/>
              <w:contextualSpacing/>
              <w:rPr>
                <w:sz w:val="22"/>
              </w:rPr>
            </w:pPr>
            <w:sdt>
              <w:sdtPr>
                <w:rPr>
                  <w:sz w:val="22"/>
                </w:rPr>
                <w:id w:val="2085881199"/>
                <w14:checkbox>
                  <w14:checked w14:val="0"/>
                  <w14:checkedState w14:val="2612" w14:font="MS Gothic"/>
                  <w14:uncheckedState w14:val="2610" w14:font="MS Gothic"/>
                </w14:checkbox>
              </w:sdtPr>
              <w:sdtContent>
                <w:r w:rsidR="00286E4E" w:rsidRPr="001408D5">
                  <w:rPr>
                    <w:rFonts w:ascii="MS Gothic" w:eastAsia="MS Gothic" w:hAnsi="MS Gothic" w:hint="eastAsia"/>
                    <w:sz w:val="22"/>
                  </w:rPr>
                  <w:t>☐</w:t>
                </w:r>
              </w:sdtContent>
            </w:sdt>
            <w:r w:rsidR="00286E4E" w:rsidRPr="001408D5">
              <w:rPr>
                <w:sz w:val="22"/>
              </w:rPr>
              <w:t xml:space="preserve"> NA</w:t>
            </w:r>
          </w:p>
          <w:p w14:paraId="45169FBC" w14:textId="77777777" w:rsidR="00286E4E" w:rsidRPr="00903F99" w:rsidRDefault="00286E4E" w:rsidP="00286E4E">
            <w:pPr>
              <w:spacing w:before="0" w:after="0"/>
              <w:contextualSpacing/>
              <w:rPr>
                <w:sz w:val="22"/>
              </w:rPr>
            </w:pPr>
          </w:p>
        </w:tc>
      </w:tr>
      <w:tr w:rsidR="00286E4E" w:rsidRPr="00903F99" w14:paraId="7FEEADF4" w14:textId="77777777" w:rsidTr="00591030">
        <w:trPr>
          <w:trHeight w:val="374"/>
          <w:jc w:val="center"/>
        </w:trPr>
        <w:tc>
          <w:tcPr>
            <w:tcW w:w="6475" w:type="dxa"/>
            <w:vMerge/>
          </w:tcPr>
          <w:p w14:paraId="2411493B" w14:textId="77777777" w:rsidR="00286E4E" w:rsidRPr="00903F99" w:rsidRDefault="00286E4E" w:rsidP="00595A8D">
            <w:pPr>
              <w:pStyle w:val="HSAGNumbers"/>
              <w:numPr>
                <w:ilvl w:val="0"/>
                <w:numId w:val="16"/>
              </w:numPr>
              <w:spacing w:before="0" w:after="0"/>
              <w:contextualSpacing/>
            </w:pPr>
          </w:p>
        </w:tc>
        <w:tc>
          <w:tcPr>
            <w:tcW w:w="6120" w:type="dxa"/>
            <w:gridSpan w:val="2"/>
            <w:shd w:val="clear" w:color="auto" w:fill="FFFFFF" w:themeFill="background1"/>
          </w:tcPr>
          <w:p w14:paraId="34F699AB" w14:textId="77777777" w:rsidR="00286E4E" w:rsidRPr="001408D5" w:rsidRDefault="00286E4E" w:rsidP="00286E4E">
            <w:pPr>
              <w:pStyle w:val="HSAGTableText"/>
              <w:contextualSpacing/>
              <w:rPr>
                <w:b/>
                <w:bCs/>
              </w:rPr>
            </w:pPr>
            <w:r w:rsidRPr="001408D5">
              <w:rPr>
                <w:b/>
                <w:bCs/>
              </w:rPr>
              <w:t>Evidence as Submitted by the PIHP:</w:t>
            </w:r>
          </w:p>
          <w:p w14:paraId="7371F5B5" w14:textId="77777777" w:rsidR="00286E4E" w:rsidRPr="001408D5" w:rsidRDefault="00286E4E" w:rsidP="00595A8D">
            <w:pPr>
              <w:pStyle w:val="HSAGTableText"/>
              <w:numPr>
                <w:ilvl w:val="0"/>
                <w:numId w:val="35"/>
              </w:numPr>
              <w:contextualSpacing/>
            </w:pPr>
            <w:hyperlink r:id="rId9">
              <w:r w:rsidRPr="001408D5">
                <w:rPr>
                  <w:rStyle w:val="Hyperlink"/>
                </w:rPr>
                <w:t>https://www.nmre.org/data-sharing/</w:t>
              </w:r>
            </w:hyperlink>
          </w:p>
          <w:p w14:paraId="75EC109E" w14:textId="77777777" w:rsidR="00286E4E" w:rsidRPr="001408D5" w:rsidRDefault="00286E4E" w:rsidP="00595A8D">
            <w:pPr>
              <w:pStyle w:val="HSAGTableText"/>
              <w:numPr>
                <w:ilvl w:val="0"/>
                <w:numId w:val="35"/>
              </w:numPr>
              <w:contextualSpacing/>
            </w:pPr>
            <w:r w:rsidRPr="001408D5">
              <w:t>PIX_9_4_API_Documentation.pdf</w:t>
            </w:r>
          </w:p>
          <w:p w14:paraId="2BEC0947" w14:textId="77777777" w:rsidR="00286E4E" w:rsidRDefault="00286E4E" w:rsidP="00595A8D">
            <w:pPr>
              <w:pStyle w:val="HSAGTableText"/>
              <w:numPr>
                <w:ilvl w:val="0"/>
                <w:numId w:val="35"/>
              </w:numPr>
              <w:contextualSpacing/>
            </w:pPr>
            <w:r w:rsidRPr="001408D5">
              <w:t>Payer Data Exchange – PCE User Manual.pdf</w:t>
            </w:r>
          </w:p>
          <w:p w14:paraId="46333214" w14:textId="3B36446E" w:rsidR="00286E4E" w:rsidRPr="00903F99" w:rsidRDefault="00286E4E" w:rsidP="00595A8D">
            <w:pPr>
              <w:pStyle w:val="HSAGTableText"/>
              <w:numPr>
                <w:ilvl w:val="0"/>
                <w:numId w:val="35"/>
              </w:numPr>
              <w:contextualSpacing/>
            </w:pPr>
            <w:r w:rsidRPr="001408D5">
              <w:t>NMRE MAILER 012125.pdf</w:t>
            </w:r>
          </w:p>
        </w:tc>
        <w:tc>
          <w:tcPr>
            <w:tcW w:w="1416" w:type="dxa"/>
            <w:vMerge/>
            <w:shd w:val="clear" w:color="auto" w:fill="FFFFFF" w:themeFill="background1"/>
          </w:tcPr>
          <w:p w14:paraId="3514F458" w14:textId="77777777" w:rsidR="00286E4E" w:rsidRPr="00903F99" w:rsidRDefault="00286E4E" w:rsidP="00286E4E">
            <w:pPr>
              <w:spacing w:before="0" w:after="0"/>
              <w:contextualSpacing/>
              <w:rPr>
                <w:sz w:val="22"/>
              </w:rPr>
            </w:pPr>
          </w:p>
        </w:tc>
      </w:tr>
      <w:tr w:rsidR="00286E4E" w:rsidRPr="00903F99" w14:paraId="138AAB2F" w14:textId="77777777" w:rsidTr="00591030">
        <w:trPr>
          <w:trHeight w:val="374"/>
          <w:jc w:val="center"/>
        </w:trPr>
        <w:tc>
          <w:tcPr>
            <w:tcW w:w="14011" w:type="dxa"/>
            <w:gridSpan w:val="4"/>
            <w:vAlign w:val="center"/>
          </w:tcPr>
          <w:p w14:paraId="02946F9E" w14:textId="62C54604" w:rsidR="00286E4E" w:rsidRPr="00903F99" w:rsidRDefault="00286E4E" w:rsidP="00286E4E">
            <w:pPr>
              <w:pStyle w:val="HSAGTableText"/>
              <w:spacing w:before="0" w:after="0"/>
            </w:pPr>
            <w:r w:rsidRPr="001408D5">
              <w:rPr>
                <w:b/>
                <w:bCs/>
              </w:rPr>
              <w:t>PIHP Description of Process:</w:t>
            </w:r>
            <w:r w:rsidRPr="001408D5">
              <w:t xml:space="preserve"> In our ongoing effort to meet CMS interoperability standards, NMRE collaborates with our EHR vendor, PCE Systems. Together, we ensure the secure and </w:t>
            </w:r>
            <w:proofErr w:type="gramStart"/>
            <w:r w:rsidRPr="001408D5">
              <w:t>compliant</w:t>
            </w:r>
            <w:proofErr w:type="gramEnd"/>
            <w:r w:rsidRPr="001408D5">
              <w:t xml:space="preserve"> sharing of healthcare information in a way that meets the needs of our beneficiaries while protecting their privacy. Our website has information about both APIs including links to the API and documentation.</w:t>
            </w:r>
          </w:p>
        </w:tc>
      </w:tr>
      <w:tr w:rsidR="00286E4E" w:rsidRPr="0026679F" w14:paraId="30C04370" w14:textId="77777777" w:rsidTr="00591030">
        <w:trPr>
          <w:trHeight w:val="374"/>
          <w:jc w:val="center"/>
        </w:trPr>
        <w:tc>
          <w:tcPr>
            <w:tcW w:w="14011" w:type="dxa"/>
            <w:gridSpan w:val="4"/>
            <w:tcBorders>
              <w:bottom w:val="single" w:sz="4" w:space="0" w:color="000000"/>
            </w:tcBorders>
            <w:vAlign w:val="center"/>
          </w:tcPr>
          <w:p w14:paraId="451BFD3E" w14:textId="77777777" w:rsidR="00286E4E" w:rsidRPr="001408D5" w:rsidRDefault="00286E4E" w:rsidP="00286E4E">
            <w:pPr>
              <w:pStyle w:val="HSAGTableText"/>
            </w:pPr>
            <w:r w:rsidRPr="001408D5">
              <w:rPr>
                <w:b/>
              </w:rPr>
              <w:t>HSAG Findings:</w:t>
            </w:r>
            <w:r w:rsidRPr="001408D5">
              <w:t xml:space="preserve"> While the PIHP implemented a Patient Access API, it could not speak to how it conducted routine testing of the API and did not provide this documentation prior to or after the site review as requested by HSAG. Additionally, the PIHP submitted its </w:t>
            </w:r>
            <w:r w:rsidRPr="001408D5">
              <w:rPr>
                <w:i/>
                <w:iCs/>
              </w:rPr>
              <w:t xml:space="preserve">PIX_9_4_API_Documentation.pdf </w:t>
            </w:r>
            <w:r w:rsidRPr="001408D5">
              <w:t xml:space="preserve">document, which included the required USCDI data elements used for the Patient Access API; however, the PIHP did not provide evidence for which specific USCDI fields would be housed and transmitted through the PIHP’s Patient Access API. During the site review, the PIHP indicated its system was different from the CMHSPs’ system, and while it did have a patient chart, it only contained authorizations and encounter data but did not have any clinical information. Further, following the site review, the PIHP referenced page 8 of </w:t>
            </w:r>
            <w:r w:rsidRPr="001408D5">
              <w:rPr>
                <w:i/>
                <w:iCs/>
              </w:rPr>
              <w:t xml:space="preserve">PIX_9_4_API_Documentation.pdf, </w:t>
            </w:r>
            <w:r w:rsidRPr="001408D5">
              <w:t>and reported that its API did consider these data elements.</w:t>
            </w:r>
            <w:r w:rsidRPr="001408D5">
              <w:rPr>
                <w:i/>
                <w:iCs/>
              </w:rPr>
              <w:t xml:space="preserve"> </w:t>
            </w:r>
            <w:r w:rsidRPr="001408D5">
              <w:t>However, this was a conflicting statement from what was reported during the site review. Without further explanation, HSAG could not confirm that the PIHP was fully compliant.</w:t>
            </w:r>
          </w:p>
          <w:p w14:paraId="5DCEFBAE" w14:textId="77777777" w:rsidR="00286E4E" w:rsidRPr="001408D5" w:rsidRDefault="00286E4E" w:rsidP="00286E4E">
            <w:pPr>
              <w:pStyle w:val="HSAGTableText"/>
              <w:rPr>
                <w:rFonts w:eastAsia="Calibri"/>
                <w:color w:val="000000"/>
              </w:rPr>
            </w:pPr>
            <w:r w:rsidRPr="001408D5">
              <w:rPr>
                <w:rFonts w:eastAsia="Calibri"/>
                <w:b/>
                <w:bCs/>
                <w:color w:val="000000"/>
              </w:rPr>
              <w:t xml:space="preserve">Recommendations: </w:t>
            </w:r>
            <w:r w:rsidRPr="001408D5">
              <w:rPr>
                <w:rFonts w:eastAsia="Calibri"/>
                <w:color w:val="000000"/>
              </w:rPr>
              <w:t>HSAG strongly recommends that the PIHP develop its own policies and procedures for its Patient Access API. Within these policies and procedures, the PIHP should include:</w:t>
            </w:r>
          </w:p>
          <w:p w14:paraId="689A18FA" w14:textId="77777777" w:rsidR="00286E4E" w:rsidRPr="001408D5" w:rsidRDefault="00286E4E" w:rsidP="00595A8D">
            <w:pPr>
              <w:pStyle w:val="HSAGTableText"/>
              <w:numPr>
                <w:ilvl w:val="0"/>
                <w:numId w:val="36"/>
              </w:numPr>
              <w:rPr>
                <w:rFonts w:eastAsia="Calibri"/>
                <w:color w:val="000000"/>
              </w:rPr>
            </w:pPr>
            <w:r w:rsidRPr="001408D5">
              <w:rPr>
                <w:rFonts w:eastAsia="Calibri"/>
                <w:color w:val="000000"/>
              </w:rPr>
              <w:t xml:space="preserve">All Patient Access API federal provisions under 42 CFR §431.60 and any applicable cross references. </w:t>
            </w:r>
          </w:p>
          <w:p w14:paraId="7ABD15B2" w14:textId="77777777" w:rsidR="00286E4E" w:rsidRPr="001408D5" w:rsidRDefault="00286E4E" w:rsidP="00595A8D">
            <w:pPr>
              <w:pStyle w:val="HSAGTableText"/>
              <w:numPr>
                <w:ilvl w:val="0"/>
                <w:numId w:val="36"/>
              </w:numPr>
              <w:rPr>
                <w:rFonts w:eastAsia="Calibri"/>
                <w:color w:val="000000"/>
              </w:rPr>
            </w:pPr>
            <w:r w:rsidRPr="001408D5">
              <w:rPr>
                <w:rFonts w:eastAsia="Calibri"/>
                <w:color w:val="000000"/>
              </w:rPr>
              <w:t>A description of how the PIHP’s API meets the intent of each federal provision.</w:t>
            </w:r>
          </w:p>
          <w:p w14:paraId="42F63690" w14:textId="77777777" w:rsidR="00286E4E" w:rsidRPr="001408D5" w:rsidRDefault="00286E4E" w:rsidP="00595A8D">
            <w:pPr>
              <w:pStyle w:val="HSAGTableText"/>
              <w:numPr>
                <w:ilvl w:val="0"/>
                <w:numId w:val="36"/>
              </w:numPr>
              <w:rPr>
                <w:rFonts w:eastAsia="Calibri"/>
                <w:color w:val="000000"/>
              </w:rPr>
            </w:pPr>
            <w:r w:rsidRPr="001408D5">
              <w:rPr>
                <w:rFonts w:eastAsia="Calibri"/>
                <w:color w:val="000000"/>
              </w:rPr>
              <w:t xml:space="preserve">A table that includes all USCDI data elements and a cross-reference to which data elements the PIHP has available within its system and the specific data fields that these data elements are being extracted from (and therefore accessible via the API). </w:t>
            </w:r>
          </w:p>
          <w:p w14:paraId="7A98178A" w14:textId="77777777" w:rsidR="00286E4E" w:rsidRPr="001408D5" w:rsidRDefault="00286E4E" w:rsidP="00595A8D">
            <w:pPr>
              <w:pStyle w:val="HSAGTableText"/>
              <w:numPr>
                <w:ilvl w:val="0"/>
                <w:numId w:val="36"/>
              </w:numPr>
              <w:rPr>
                <w:rFonts w:eastAsia="Calibri"/>
                <w:color w:val="000000"/>
              </w:rPr>
            </w:pPr>
            <w:r w:rsidRPr="001408D5">
              <w:rPr>
                <w:rFonts w:eastAsia="Calibri"/>
                <w:color w:val="000000"/>
              </w:rPr>
              <w:t xml:space="preserve">A description of how the PIHP oversees PCE to ensure the Patient Access API meets all federal provisions, including timeliness requirements. </w:t>
            </w:r>
          </w:p>
          <w:p w14:paraId="37CBF22F" w14:textId="77777777" w:rsidR="00286E4E" w:rsidRPr="001408D5" w:rsidRDefault="00286E4E" w:rsidP="00595A8D">
            <w:pPr>
              <w:pStyle w:val="HSAGTableText"/>
              <w:numPr>
                <w:ilvl w:val="0"/>
                <w:numId w:val="36"/>
              </w:numPr>
              <w:rPr>
                <w:rFonts w:eastAsia="Calibri"/>
                <w:color w:val="000000"/>
              </w:rPr>
            </w:pPr>
            <w:r w:rsidRPr="001408D5">
              <w:rPr>
                <w:rFonts w:eastAsia="Calibri"/>
                <w:color w:val="000000"/>
              </w:rPr>
              <w:t>A description of how the PIHP incorporates a mechanism to conduct routine testing of the API.</w:t>
            </w:r>
            <w:r w:rsidRPr="001408D5">
              <w:t xml:space="preserve"> </w:t>
            </w:r>
          </w:p>
          <w:p w14:paraId="2616C207" w14:textId="77777777" w:rsidR="00286E4E" w:rsidRPr="001408D5" w:rsidRDefault="00286E4E" w:rsidP="00595A8D">
            <w:pPr>
              <w:pStyle w:val="HSAGTableText"/>
              <w:numPr>
                <w:ilvl w:val="0"/>
                <w:numId w:val="36"/>
              </w:numPr>
              <w:rPr>
                <w:rFonts w:eastAsia="Calibri"/>
                <w:color w:val="000000"/>
              </w:rPr>
            </w:pPr>
            <w:r w:rsidRPr="001408D5">
              <w:rPr>
                <w:rFonts w:eastAsia="Calibri"/>
                <w:color w:val="000000"/>
              </w:rPr>
              <w:t>All new requirements outlined under the CMS Interoperability and Prior Authorization Final Rule (CMS-0057-F).</w:t>
            </w:r>
          </w:p>
          <w:p w14:paraId="49D5F90D" w14:textId="521E4EEC" w:rsidR="00286E4E" w:rsidRPr="0026679F" w:rsidRDefault="00286E4E" w:rsidP="00286E4E">
            <w:pPr>
              <w:pStyle w:val="HSAGTableText"/>
              <w:spacing w:before="0"/>
            </w:pPr>
            <w:r w:rsidRPr="001408D5">
              <w:t xml:space="preserve">If the PIHP does not demonstrate adequate implementation of HSAG’s recommendations during future compliance reviews, the PIHP may receive a </w:t>
            </w:r>
            <w:r w:rsidRPr="001408D5">
              <w:rPr>
                <w:i/>
                <w:iCs/>
              </w:rPr>
              <w:t>Not Met</w:t>
            </w:r>
            <w:r w:rsidRPr="001408D5">
              <w:t xml:space="preserve"> score.</w:t>
            </w:r>
          </w:p>
        </w:tc>
      </w:tr>
      <w:tr w:rsidR="00286E4E" w:rsidRPr="0026679F" w14:paraId="0C7FAE35" w14:textId="77777777" w:rsidTr="00591030">
        <w:trPr>
          <w:trHeight w:val="374"/>
          <w:jc w:val="center"/>
        </w:trPr>
        <w:tc>
          <w:tcPr>
            <w:tcW w:w="14011" w:type="dxa"/>
            <w:gridSpan w:val="4"/>
            <w:tcBorders>
              <w:top w:val="single" w:sz="4" w:space="0" w:color="000000"/>
              <w:bottom w:val="single" w:sz="4" w:space="0" w:color="auto"/>
            </w:tcBorders>
            <w:vAlign w:val="center"/>
          </w:tcPr>
          <w:p w14:paraId="5AE7DFC0" w14:textId="6FC69F67" w:rsidR="00286E4E" w:rsidRPr="0026679F" w:rsidRDefault="00286E4E" w:rsidP="00286E4E">
            <w:pPr>
              <w:pStyle w:val="HSAGTableText"/>
              <w:rPr>
                <w:b/>
              </w:rPr>
            </w:pPr>
            <w:r w:rsidRPr="001408D5">
              <w:rPr>
                <w:b/>
              </w:rPr>
              <w:t>Required Actions:</w:t>
            </w:r>
            <w:r w:rsidRPr="001408D5">
              <w:t xml:space="preserve"> </w:t>
            </w:r>
            <w:r w:rsidRPr="00DC649F">
              <w:t>The PIHP’s Patient Access API must comply with all data elements in the CMS interoperability final rules.</w:t>
            </w:r>
          </w:p>
        </w:tc>
      </w:tr>
      <w:tr w:rsidR="00286E4E" w:rsidRPr="00D16F05" w14:paraId="675FCD7C" w14:textId="77777777" w:rsidTr="00591030">
        <w:tblPrEx>
          <w:tblCellMar>
            <w:left w:w="108" w:type="dxa"/>
            <w:right w:w="108" w:type="dxa"/>
          </w:tblCellMar>
        </w:tblPrEx>
        <w:trPr>
          <w:trHeight w:val="374"/>
          <w:jc w:val="center"/>
        </w:trPr>
        <w:tc>
          <w:tcPr>
            <w:tcW w:w="14011" w:type="dxa"/>
            <w:gridSpan w:val="4"/>
            <w:tcBorders>
              <w:top w:val="single" w:sz="4" w:space="0" w:color="auto"/>
              <w:bottom w:val="single" w:sz="4" w:space="0" w:color="000000" w:themeColor="text1"/>
            </w:tcBorders>
            <w:shd w:val="clear" w:color="auto" w:fill="F79548" w:themeFill="accent4"/>
          </w:tcPr>
          <w:p w14:paraId="194AD87C" w14:textId="77777777" w:rsidR="00286E4E" w:rsidRPr="00D16F05" w:rsidRDefault="00286E4E" w:rsidP="00286E4E">
            <w:pPr>
              <w:pStyle w:val="HSAGTableText"/>
              <w:keepNext/>
              <w:contextualSpacing/>
              <w:rPr>
                <w:b/>
              </w:rPr>
            </w:pPr>
            <w:r>
              <w:rPr>
                <w:b/>
              </w:rPr>
              <w:lastRenderedPageBreak/>
              <w:t>PIHP Corrective Action Plan</w:t>
            </w:r>
          </w:p>
        </w:tc>
      </w:tr>
      <w:tr w:rsidR="00286E4E" w:rsidRPr="00984D92" w14:paraId="78B5332B" w14:textId="77777777" w:rsidTr="00591030">
        <w:tblPrEx>
          <w:tblCellMar>
            <w:left w:w="108" w:type="dxa"/>
            <w:right w:w="108" w:type="dxa"/>
          </w:tblCellMar>
        </w:tblPrEx>
        <w:trPr>
          <w:trHeight w:val="374"/>
          <w:jc w:val="center"/>
        </w:trPr>
        <w:tc>
          <w:tcPr>
            <w:tcW w:w="14011" w:type="dxa"/>
            <w:gridSpan w:val="4"/>
            <w:tcBorders>
              <w:top w:val="single" w:sz="4" w:space="0" w:color="000000"/>
              <w:bottom w:val="single" w:sz="4" w:space="0" w:color="000000" w:themeColor="text1"/>
            </w:tcBorders>
          </w:tcPr>
          <w:p w14:paraId="615AEFFA" w14:textId="40AE3D0A" w:rsidR="00286E4E" w:rsidRPr="00B96827" w:rsidRDefault="00286E4E" w:rsidP="00286E4E">
            <w:pPr>
              <w:pStyle w:val="HSAGTableText"/>
              <w:contextualSpacing/>
              <w:rPr>
                <w:bCs/>
                <w:szCs w:val="22"/>
              </w:rPr>
            </w:pPr>
            <w:r w:rsidRPr="00B96827">
              <w:rPr>
                <w:b/>
                <w:szCs w:val="22"/>
              </w:rPr>
              <w:t>Root Cause Analysis:</w:t>
            </w:r>
            <w:r w:rsidRPr="00B96827">
              <w:rPr>
                <w:bCs/>
                <w:szCs w:val="22"/>
              </w:rPr>
              <w:t xml:space="preserve"> </w:t>
            </w:r>
            <w:r w:rsidR="00A81EE8" w:rsidRPr="00B96827">
              <w:rPr>
                <w:rStyle w:val="normaltextrun"/>
                <w:color w:val="000000"/>
                <w:szCs w:val="22"/>
                <w:shd w:val="clear" w:color="auto" w:fill="FFFFFF"/>
              </w:rPr>
              <w:t>The NMRE did not have a formalized process or written procedure for conducting and documenting routine testing of its Patient Access API to verify compliance with federal interoperability requirements. While the API was operational and publicly accessible through the NMRE website and supported by its EHR vendor, PCE Systems, the NMRE did not maintain internal documentation demonstrating how specific USCDI data elements were housed and made available through the API. The absence of a structured testing schedule and detailed policy framework contributed to the lack of evidence requested during the review.</w:t>
            </w:r>
          </w:p>
        </w:tc>
      </w:tr>
      <w:tr w:rsidR="00286E4E" w:rsidRPr="00FC2C0F" w14:paraId="6A67F101" w14:textId="77777777" w:rsidTr="00591030">
        <w:tblPrEx>
          <w:tblCellMar>
            <w:left w:w="108" w:type="dxa"/>
            <w:right w:w="108" w:type="dxa"/>
          </w:tblCellMar>
        </w:tblPrEx>
        <w:trPr>
          <w:trHeight w:val="374"/>
          <w:jc w:val="center"/>
        </w:trPr>
        <w:tc>
          <w:tcPr>
            <w:tcW w:w="14011" w:type="dxa"/>
            <w:gridSpan w:val="4"/>
            <w:tcBorders>
              <w:top w:val="single" w:sz="4" w:space="0" w:color="000000"/>
              <w:bottom w:val="single" w:sz="4" w:space="0" w:color="000000" w:themeColor="text1"/>
            </w:tcBorders>
          </w:tcPr>
          <w:p w14:paraId="0BEBCE0F" w14:textId="30B79FF6" w:rsidR="00A81EE8" w:rsidRPr="00B96827" w:rsidRDefault="00286E4E" w:rsidP="00A81EE8">
            <w:pPr>
              <w:pStyle w:val="paragraph"/>
              <w:spacing w:before="0" w:beforeAutospacing="0" w:after="0" w:afterAutospacing="0"/>
              <w:textAlignment w:val="baseline"/>
              <w:rPr>
                <w:rFonts w:ascii="Segoe UI" w:hAnsi="Segoe UI" w:cs="Segoe UI"/>
                <w:color w:val="000000"/>
                <w:sz w:val="22"/>
                <w:szCs w:val="22"/>
              </w:rPr>
            </w:pPr>
            <w:r w:rsidRPr="00B96827">
              <w:rPr>
                <w:b/>
                <w:sz w:val="22"/>
                <w:szCs w:val="22"/>
              </w:rPr>
              <w:t>PIHP Remediation Plan:</w:t>
            </w:r>
            <w:r w:rsidRPr="00B96827">
              <w:rPr>
                <w:bCs/>
                <w:sz w:val="22"/>
                <w:szCs w:val="22"/>
              </w:rPr>
              <w:t xml:space="preserve"> </w:t>
            </w:r>
            <w:r w:rsidR="00A81EE8" w:rsidRPr="00B96827">
              <w:rPr>
                <w:rStyle w:val="normaltextrun"/>
                <w:color w:val="000000"/>
                <w:sz w:val="22"/>
                <w:szCs w:val="22"/>
              </w:rPr>
              <w:t xml:space="preserve">The PIHP will develop and adopt a comprehensive Patient Access API Policy and Procedure document that will establish clear expectations for the oversight, functionality, and testing of the API in alignment with 42 CFR. </w:t>
            </w:r>
            <w:r w:rsidR="00A81EE8" w:rsidRPr="00B96827">
              <w:rPr>
                <w:rStyle w:val="scxw236033024"/>
                <w:color w:val="000000"/>
                <w:sz w:val="22"/>
                <w:szCs w:val="22"/>
              </w:rPr>
              <w:t> </w:t>
            </w:r>
            <w:r w:rsidR="00A81EE8" w:rsidRPr="00B96827">
              <w:rPr>
                <w:color w:val="000000"/>
                <w:sz w:val="22"/>
                <w:szCs w:val="22"/>
              </w:rPr>
              <w:br/>
            </w:r>
            <w:r w:rsidR="00A81EE8" w:rsidRPr="00B96827">
              <w:rPr>
                <w:rStyle w:val="normaltextrun"/>
                <w:color w:val="000000"/>
                <w:sz w:val="22"/>
                <w:szCs w:val="22"/>
              </w:rPr>
              <w:t>The procedure will include routine testing schedule with documentation, USCDI data element crosswalk mapping of all applicable USCDI data elements available through the PCE system with source fields, and vendor collaboration and oversight.</w:t>
            </w:r>
            <w:r w:rsidR="00A81EE8" w:rsidRPr="00B96827">
              <w:rPr>
                <w:rStyle w:val="eop"/>
                <w:color w:val="000000"/>
                <w:sz w:val="22"/>
                <w:szCs w:val="22"/>
              </w:rPr>
              <w:t> </w:t>
            </w:r>
          </w:p>
          <w:p w14:paraId="5A78E14B" w14:textId="3E16F352" w:rsidR="00286E4E" w:rsidRPr="00B96827" w:rsidRDefault="00A81EE8" w:rsidP="00EB33E6">
            <w:pPr>
              <w:pStyle w:val="paragraph"/>
              <w:spacing w:before="0" w:beforeAutospacing="0" w:after="0" w:afterAutospacing="0"/>
              <w:textAlignment w:val="baseline"/>
              <w:rPr>
                <w:rFonts w:ascii="Segoe UI" w:hAnsi="Segoe UI" w:cs="Segoe UI"/>
                <w:color w:val="000000"/>
                <w:sz w:val="22"/>
                <w:szCs w:val="22"/>
              </w:rPr>
            </w:pPr>
            <w:r w:rsidRPr="00B96827">
              <w:rPr>
                <w:rStyle w:val="normaltextrun"/>
                <w:color w:val="000000"/>
                <w:sz w:val="22"/>
                <w:szCs w:val="22"/>
              </w:rPr>
              <w:t>This new policy and procedure will ensure continuous compliance, internal accountability, and verifiable oversight of the Patient Access API.</w:t>
            </w:r>
            <w:r w:rsidRPr="00B96827">
              <w:rPr>
                <w:rStyle w:val="eop"/>
                <w:color w:val="000000"/>
                <w:sz w:val="22"/>
                <w:szCs w:val="22"/>
              </w:rPr>
              <w:t> </w:t>
            </w:r>
          </w:p>
        </w:tc>
      </w:tr>
      <w:tr w:rsidR="00286E4E" w:rsidRPr="00FC2C0F" w14:paraId="7983F9F1" w14:textId="77777777" w:rsidTr="00591030">
        <w:tblPrEx>
          <w:tblCellMar>
            <w:left w:w="108" w:type="dxa"/>
            <w:right w:w="108" w:type="dxa"/>
          </w:tblCellMar>
        </w:tblPrEx>
        <w:trPr>
          <w:trHeight w:val="374"/>
          <w:jc w:val="center"/>
        </w:trPr>
        <w:tc>
          <w:tcPr>
            <w:tcW w:w="14011" w:type="dxa"/>
            <w:gridSpan w:val="4"/>
            <w:tcBorders>
              <w:top w:val="single" w:sz="4" w:space="0" w:color="000000"/>
              <w:bottom w:val="single" w:sz="4" w:space="0" w:color="000000" w:themeColor="text1"/>
            </w:tcBorders>
          </w:tcPr>
          <w:p w14:paraId="3095AFBF" w14:textId="31BB6007" w:rsidR="00286E4E" w:rsidRPr="00FC2C0F" w:rsidRDefault="00286E4E" w:rsidP="00286E4E">
            <w:pPr>
              <w:pStyle w:val="HSAGTableText"/>
              <w:contextualSpacing/>
              <w:rPr>
                <w:bCs/>
              </w:rPr>
            </w:pPr>
            <w:r w:rsidRPr="00B30934">
              <w:rPr>
                <w:b/>
              </w:rPr>
              <w:t>Responsible Individual(s):</w:t>
            </w:r>
            <w:r>
              <w:rPr>
                <w:bCs/>
              </w:rPr>
              <w:t xml:space="preserve"> </w:t>
            </w:r>
            <w:r w:rsidR="00A81EE8">
              <w:rPr>
                <w:rStyle w:val="normaltextrun"/>
                <w:color w:val="000000"/>
                <w:szCs w:val="22"/>
                <w:bdr w:val="none" w:sz="0" w:space="0" w:color="auto" w:frame="1"/>
              </w:rPr>
              <w:t>Brandon Rhue, Chief Information Officer (CIO)</w:t>
            </w:r>
          </w:p>
        </w:tc>
      </w:tr>
      <w:tr w:rsidR="00286E4E" w:rsidRPr="00FC2C0F" w14:paraId="61B20B3D" w14:textId="77777777" w:rsidTr="00591030">
        <w:tblPrEx>
          <w:tblCellMar>
            <w:left w:w="108" w:type="dxa"/>
            <w:right w:w="108" w:type="dxa"/>
          </w:tblCellMar>
        </w:tblPrEx>
        <w:trPr>
          <w:trHeight w:val="374"/>
          <w:jc w:val="center"/>
        </w:trPr>
        <w:tc>
          <w:tcPr>
            <w:tcW w:w="14011" w:type="dxa"/>
            <w:gridSpan w:val="4"/>
            <w:tcBorders>
              <w:top w:val="single" w:sz="4" w:space="0" w:color="000000"/>
              <w:bottom w:val="single" w:sz="4" w:space="0" w:color="auto"/>
            </w:tcBorders>
          </w:tcPr>
          <w:p w14:paraId="57187E4C" w14:textId="0C5E6292" w:rsidR="00286E4E" w:rsidRPr="00FC2C0F" w:rsidRDefault="00286E4E" w:rsidP="00286E4E">
            <w:pPr>
              <w:pStyle w:val="HSAGTableText"/>
              <w:contextualSpacing/>
              <w:rPr>
                <w:bCs/>
              </w:rPr>
            </w:pPr>
            <w:r w:rsidRPr="00B30934">
              <w:rPr>
                <w:b/>
              </w:rPr>
              <w:t>Timeline:</w:t>
            </w:r>
            <w:r>
              <w:rPr>
                <w:bCs/>
              </w:rPr>
              <w:t xml:space="preserve"> </w:t>
            </w:r>
            <w:r w:rsidR="00A81EE8">
              <w:rPr>
                <w:rStyle w:val="normaltextrun"/>
                <w:color w:val="000000"/>
                <w:szCs w:val="22"/>
                <w:bdr w:val="none" w:sz="0" w:space="0" w:color="auto" w:frame="1"/>
              </w:rPr>
              <w:t>We will begin policy development before the end of 2025 with plans for review and adoption by Spring 2026.</w:t>
            </w:r>
          </w:p>
        </w:tc>
      </w:tr>
      <w:tr w:rsidR="00286E4E" w14:paraId="7E66C8BC" w14:textId="77777777" w:rsidTr="00591030">
        <w:tblPrEx>
          <w:tblCellMar>
            <w:left w:w="108" w:type="dxa"/>
            <w:right w:w="108" w:type="dxa"/>
          </w:tblCellMar>
        </w:tblPrEx>
        <w:trPr>
          <w:trHeight w:val="374"/>
          <w:jc w:val="center"/>
        </w:trPr>
        <w:tc>
          <w:tcPr>
            <w:tcW w:w="10435" w:type="dxa"/>
            <w:gridSpan w:val="2"/>
            <w:tcBorders>
              <w:top w:val="single" w:sz="4" w:space="0" w:color="auto"/>
              <w:bottom w:val="single" w:sz="18" w:space="0" w:color="00549E" w:themeColor="text2"/>
            </w:tcBorders>
            <w:shd w:val="clear" w:color="auto" w:fill="F2F2F2" w:themeFill="background1" w:themeFillShade="F2"/>
          </w:tcPr>
          <w:p w14:paraId="06661701" w14:textId="3A7615E8" w:rsidR="00286E4E" w:rsidRPr="00FC2C0F" w:rsidRDefault="00286E4E" w:rsidP="00286E4E">
            <w:pPr>
              <w:pStyle w:val="HSAGTableText"/>
              <w:contextualSpacing/>
              <w:rPr>
                <w:bCs/>
              </w:rPr>
            </w:pPr>
            <w:r>
              <w:rPr>
                <w:b/>
              </w:rPr>
              <w:t>MDHHS/HSAG Response:</w:t>
            </w:r>
            <w:r>
              <w:rPr>
                <w:bCs/>
              </w:rPr>
              <w:t xml:space="preserve"> </w:t>
            </w:r>
            <w:r w:rsidR="00EB33E6">
              <w:rPr>
                <w:bCs/>
              </w:rPr>
              <w:t xml:space="preserve">The PIHP’s remediation plan is sufficient to ensure compliance with the requirements for this program area. While no additional information is required to be submitted at this time, the PIHP must proceed with </w:t>
            </w:r>
            <w:proofErr w:type="gramStart"/>
            <w:r w:rsidR="00EB33E6">
              <w:rPr>
                <w:bCs/>
              </w:rPr>
              <w:t>timely</w:t>
            </w:r>
            <w:proofErr w:type="gramEnd"/>
            <w:r w:rsidR="00EB33E6">
              <w:rPr>
                <w:bCs/>
              </w:rPr>
              <w:t xml:space="preserve"> implementation of its action plans. Please note, an </w:t>
            </w:r>
            <w:r w:rsidR="00EB33E6">
              <w:rPr>
                <w:bCs/>
                <w:i/>
                <w:iCs/>
              </w:rPr>
              <w:t>Accepted</w:t>
            </w:r>
            <w:r w:rsidR="00EB33E6">
              <w:rPr>
                <w:bCs/>
              </w:rPr>
              <w:t xml:space="preserve"> designation is not a guarantee of future compliance. Implementation of the PIHP’s action plans and demonstration of compliance will be assessed during future compliance review activities.</w:t>
            </w:r>
          </w:p>
        </w:tc>
        <w:tc>
          <w:tcPr>
            <w:tcW w:w="3576" w:type="dxa"/>
            <w:gridSpan w:val="2"/>
            <w:tcBorders>
              <w:top w:val="single" w:sz="4" w:space="0" w:color="auto"/>
              <w:bottom w:val="single" w:sz="18" w:space="0" w:color="00549E" w:themeColor="text2"/>
            </w:tcBorders>
            <w:shd w:val="clear" w:color="auto" w:fill="F2F2F2" w:themeFill="background1" w:themeFillShade="F2"/>
          </w:tcPr>
          <w:p w14:paraId="158D2DCC" w14:textId="2A411840" w:rsidR="00286E4E" w:rsidRPr="00C123EE" w:rsidRDefault="00000000" w:rsidP="00286E4E">
            <w:pPr>
              <w:pStyle w:val="HSAGTableText"/>
              <w:contextualSpacing/>
              <w:rPr>
                <w:bCs/>
              </w:rPr>
            </w:pPr>
            <w:sdt>
              <w:sdtPr>
                <w:rPr>
                  <w:bCs/>
                </w:rPr>
                <w:id w:val="-750965211"/>
                <w14:checkbox>
                  <w14:checked w14:val="1"/>
                  <w14:checkedState w14:val="2612" w14:font="MS Gothic"/>
                  <w14:uncheckedState w14:val="2610" w14:font="MS Gothic"/>
                </w14:checkbox>
              </w:sdtPr>
              <w:sdtContent>
                <w:r w:rsidR="00EB33E6">
                  <w:rPr>
                    <w:rFonts w:ascii="MS Gothic" w:eastAsia="MS Gothic" w:hAnsi="MS Gothic" w:hint="eastAsia"/>
                    <w:bCs/>
                  </w:rPr>
                  <w:t>☒</w:t>
                </w:r>
              </w:sdtContent>
            </w:sdt>
            <w:r w:rsidR="00286E4E" w:rsidRPr="00C123EE">
              <w:rPr>
                <w:bCs/>
              </w:rPr>
              <w:t xml:space="preserve"> Accepted</w:t>
            </w:r>
          </w:p>
          <w:p w14:paraId="6422B9EF" w14:textId="77777777" w:rsidR="00286E4E" w:rsidRPr="00C123EE" w:rsidRDefault="00000000" w:rsidP="00286E4E">
            <w:pPr>
              <w:pStyle w:val="HSAGTableText"/>
              <w:contextualSpacing/>
              <w:rPr>
                <w:bCs/>
              </w:rPr>
            </w:pPr>
            <w:sdt>
              <w:sdtPr>
                <w:rPr>
                  <w:bCs/>
                </w:rPr>
                <w:id w:val="-1925949119"/>
                <w14:checkbox>
                  <w14:checked w14:val="0"/>
                  <w14:checkedState w14:val="2612" w14:font="MS Gothic"/>
                  <w14:uncheckedState w14:val="2610" w14:font="MS Gothic"/>
                </w14:checkbox>
              </w:sdtPr>
              <w:sdtContent>
                <w:r w:rsidR="00286E4E" w:rsidRPr="00C123EE">
                  <w:rPr>
                    <w:rFonts w:ascii="MS Gothic" w:eastAsia="MS Gothic" w:hAnsi="MS Gothic" w:hint="eastAsia"/>
                    <w:bCs/>
                  </w:rPr>
                  <w:t>☐</w:t>
                </w:r>
              </w:sdtContent>
            </w:sdt>
            <w:r w:rsidR="00286E4E" w:rsidRPr="00C123EE">
              <w:rPr>
                <w:bCs/>
              </w:rPr>
              <w:t xml:space="preserve"> Accepted </w:t>
            </w:r>
            <w:r w:rsidR="00286E4E">
              <w:rPr>
                <w:bCs/>
              </w:rPr>
              <w:t>W</w:t>
            </w:r>
            <w:r w:rsidR="00286E4E" w:rsidRPr="00C123EE">
              <w:rPr>
                <w:bCs/>
              </w:rPr>
              <w:t>ith Recommendations</w:t>
            </w:r>
          </w:p>
          <w:p w14:paraId="2343E2F6" w14:textId="77777777" w:rsidR="00286E4E" w:rsidRDefault="00000000" w:rsidP="00286E4E">
            <w:pPr>
              <w:pStyle w:val="HSAGTableText"/>
              <w:contextualSpacing/>
              <w:rPr>
                <w:b/>
              </w:rPr>
            </w:pPr>
            <w:sdt>
              <w:sdtPr>
                <w:rPr>
                  <w:bCs/>
                </w:rPr>
                <w:id w:val="1654485206"/>
                <w14:checkbox>
                  <w14:checked w14:val="0"/>
                  <w14:checkedState w14:val="2612" w14:font="MS Gothic"/>
                  <w14:uncheckedState w14:val="2610" w14:font="MS Gothic"/>
                </w14:checkbox>
              </w:sdtPr>
              <w:sdtContent>
                <w:r w:rsidR="00286E4E" w:rsidRPr="00C123EE">
                  <w:rPr>
                    <w:rFonts w:ascii="MS Gothic" w:eastAsia="MS Gothic" w:hAnsi="MS Gothic" w:hint="eastAsia"/>
                    <w:bCs/>
                  </w:rPr>
                  <w:t>☐</w:t>
                </w:r>
              </w:sdtContent>
            </w:sdt>
            <w:r w:rsidR="00286E4E" w:rsidRPr="00C123EE">
              <w:rPr>
                <w:bCs/>
              </w:rPr>
              <w:t xml:space="preserve"> Not Accepted</w:t>
            </w:r>
          </w:p>
        </w:tc>
      </w:tr>
      <w:tr w:rsidR="00333E2B" w:rsidRPr="00903F99" w14:paraId="6AD8C729" w14:textId="77777777" w:rsidTr="00591030">
        <w:trPr>
          <w:trHeight w:val="374"/>
          <w:jc w:val="center"/>
        </w:trPr>
        <w:tc>
          <w:tcPr>
            <w:tcW w:w="6475" w:type="dxa"/>
            <w:vMerge w:val="restart"/>
          </w:tcPr>
          <w:p w14:paraId="764A80E4" w14:textId="77777777" w:rsidR="00333E2B" w:rsidRPr="001408D5" w:rsidRDefault="00333E2B" w:rsidP="00333E2B">
            <w:pPr>
              <w:pStyle w:val="ListNoNum"/>
              <w:rPr>
                <w:rFonts w:eastAsiaTheme="minorHAnsi"/>
                <w:sz w:val="18"/>
                <w:szCs w:val="18"/>
              </w:rPr>
            </w:pPr>
            <w:r w:rsidRPr="001408D5">
              <w:rPr>
                <w:spacing w:val="-4"/>
              </w:rPr>
              <w:t>7.</w:t>
            </w:r>
            <w:r w:rsidRPr="001408D5">
              <w:rPr>
                <w:spacing w:val="-4"/>
              </w:rPr>
              <w:tab/>
            </w:r>
            <w:r w:rsidRPr="001408D5">
              <w:rPr>
                <w:rFonts w:eastAsiaTheme="minorHAnsi"/>
                <w:szCs w:val="22"/>
              </w:rPr>
              <w:t xml:space="preserve">The PIHP maintains a publicly accessible standards-based API described in 42 CFR §431.70 (access to published provider directory information) which is conformant with the technical requirements at 45 CFR §431.60(c), excluding the security protocols related to user authentication and authorization and any other protocols that restrict the availability of this information to particular persons or organizations, the documentation </w:t>
            </w:r>
            <w:r w:rsidRPr="001408D5">
              <w:rPr>
                <w:rFonts w:eastAsiaTheme="minorHAnsi"/>
                <w:szCs w:val="22"/>
              </w:rPr>
              <w:lastRenderedPageBreak/>
              <w:t>requirements at 45 CFR §431.60(d), and is accessible via a public-facing digital endpoint on the PIHP’s website.</w:t>
            </w:r>
          </w:p>
          <w:p w14:paraId="233FB0BA" w14:textId="77777777" w:rsidR="00333E2B" w:rsidRPr="001408D5" w:rsidRDefault="00333E2B" w:rsidP="00333E2B">
            <w:pPr>
              <w:spacing w:before="60" w:after="60"/>
              <w:ind w:left="-29"/>
              <w:contextualSpacing/>
              <w:jc w:val="right"/>
              <w:rPr>
                <w:sz w:val="18"/>
                <w:szCs w:val="18"/>
              </w:rPr>
            </w:pPr>
          </w:p>
          <w:p w14:paraId="5D6B99D3" w14:textId="77777777" w:rsidR="00333E2B" w:rsidRPr="001408D5" w:rsidRDefault="00333E2B" w:rsidP="00333E2B">
            <w:pPr>
              <w:pStyle w:val="HSAGTableContracttext"/>
              <w:rPr>
                <w:color w:val="auto"/>
              </w:rPr>
            </w:pPr>
            <w:r w:rsidRPr="001408D5">
              <w:rPr>
                <w:color w:val="auto"/>
              </w:rPr>
              <w:t>42 CFR §438.242(b)(6)</w:t>
            </w:r>
          </w:p>
          <w:p w14:paraId="03F90DB8" w14:textId="77777777" w:rsidR="00333E2B" w:rsidRPr="001408D5" w:rsidRDefault="00333E2B" w:rsidP="00333E2B">
            <w:pPr>
              <w:pStyle w:val="HSAGTableContracttext"/>
              <w:rPr>
                <w:color w:val="auto"/>
              </w:rPr>
            </w:pPr>
            <w:r w:rsidRPr="001408D5">
              <w:rPr>
                <w:color w:val="auto"/>
              </w:rPr>
              <w:t>45 CFR §431.60(c–d)</w:t>
            </w:r>
          </w:p>
          <w:p w14:paraId="04900C10" w14:textId="77777777" w:rsidR="00333E2B" w:rsidRPr="001408D5" w:rsidRDefault="00333E2B" w:rsidP="00333E2B">
            <w:pPr>
              <w:pStyle w:val="HSAGTableContracttext"/>
              <w:rPr>
                <w:color w:val="auto"/>
              </w:rPr>
            </w:pPr>
            <w:r w:rsidRPr="001408D5">
              <w:rPr>
                <w:color w:val="auto"/>
              </w:rPr>
              <w:t>42 CFR §431.70</w:t>
            </w:r>
          </w:p>
          <w:p w14:paraId="252B687A" w14:textId="77777777" w:rsidR="00333E2B" w:rsidRPr="001408D5" w:rsidRDefault="00333E2B" w:rsidP="00333E2B">
            <w:pPr>
              <w:pStyle w:val="HSAGTableContracttext"/>
              <w:rPr>
                <w:color w:val="auto"/>
              </w:rPr>
            </w:pPr>
            <w:r w:rsidRPr="001408D5">
              <w:rPr>
                <w:color w:val="auto"/>
              </w:rPr>
              <w:t>42 CFR §438.10(h</w:t>
            </w:r>
            <w:proofErr w:type="gramStart"/>
            <w:r w:rsidRPr="001408D5">
              <w:rPr>
                <w:color w:val="auto"/>
              </w:rPr>
              <w:t>)(</w:t>
            </w:r>
            <w:proofErr w:type="gramEnd"/>
            <w:r w:rsidRPr="001408D5">
              <w:rPr>
                <w:color w:val="auto"/>
              </w:rPr>
              <w:t>1–2)</w:t>
            </w:r>
          </w:p>
          <w:p w14:paraId="482FDE8A" w14:textId="0D53DFAC" w:rsidR="00333E2B" w:rsidRPr="00903F99" w:rsidRDefault="00333E2B" w:rsidP="00333E2B">
            <w:pPr>
              <w:pStyle w:val="HSAGTableContracttext"/>
              <w:keepNext/>
              <w:spacing w:before="0" w:after="0"/>
              <w:ind w:left="1440"/>
              <w:contextualSpacing/>
              <w:rPr>
                <w:i/>
                <w:szCs w:val="18"/>
              </w:rPr>
            </w:pPr>
            <w:r w:rsidRPr="001408D5">
              <w:rPr>
                <w:color w:val="auto"/>
              </w:rPr>
              <w:t>42 CFR §457.1233(d)</w:t>
            </w:r>
          </w:p>
        </w:tc>
        <w:tc>
          <w:tcPr>
            <w:tcW w:w="6120" w:type="dxa"/>
            <w:gridSpan w:val="2"/>
            <w:shd w:val="clear" w:color="auto" w:fill="FFFFFF" w:themeFill="background1"/>
          </w:tcPr>
          <w:p w14:paraId="65B88AAC" w14:textId="77777777" w:rsidR="00333E2B" w:rsidRPr="001408D5" w:rsidRDefault="00333E2B" w:rsidP="00333E2B">
            <w:pPr>
              <w:pStyle w:val="HSAGTableText"/>
              <w:contextualSpacing/>
              <w:rPr>
                <w:b/>
                <w:bCs/>
                <w:color w:val="auto"/>
              </w:rPr>
            </w:pPr>
            <w:r w:rsidRPr="001408D5">
              <w:rPr>
                <w:b/>
                <w:bCs/>
                <w:color w:val="auto"/>
              </w:rPr>
              <w:lastRenderedPageBreak/>
              <w:t>HSAG Required Evidence:</w:t>
            </w:r>
          </w:p>
          <w:p w14:paraId="73ACC35F" w14:textId="77777777" w:rsidR="00333E2B" w:rsidRPr="001408D5" w:rsidRDefault="00333E2B" w:rsidP="00595A8D">
            <w:pPr>
              <w:pStyle w:val="HSAGTableText"/>
              <w:numPr>
                <w:ilvl w:val="0"/>
                <w:numId w:val="19"/>
              </w:numPr>
              <w:contextualSpacing/>
              <w:rPr>
                <w:color w:val="auto"/>
              </w:rPr>
            </w:pPr>
            <w:r w:rsidRPr="001408D5">
              <w:rPr>
                <w:color w:val="auto"/>
              </w:rPr>
              <w:t>Policies, procedures, and workflows</w:t>
            </w:r>
          </w:p>
          <w:p w14:paraId="45CFFA03" w14:textId="77777777" w:rsidR="00333E2B" w:rsidRPr="001408D5" w:rsidRDefault="00333E2B" w:rsidP="00595A8D">
            <w:pPr>
              <w:pStyle w:val="HSAGTableText"/>
              <w:numPr>
                <w:ilvl w:val="0"/>
                <w:numId w:val="19"/>
              </w:numPr>
              <w:contextualSpacing/>
              <w:rPr>
                <w:color w:val="auto"/>
              </w:rPr>
            </w:pPr>
            <w:r w:rsidRPr="001408D5">
              <w:rPr>
                <w:color w:val="auto"/>
              </w:rPr>
              <w:t xml:space="preserve">API documentation such as project plan(s), testing and monitoring plans/results </w:t>
            </w:r>
          </w:p>
          <w:p w14:paraId="56B73183" w14:textId="77777777" w:rsidR="00333E2B" w:rsidRPr="001408D5" w:rsidRDefault="00333E2B" w:rsidP="00595A8D">
            <w:pPr>
              <w:pStyle w:val="HSAGTableText"/>
              <w:numPr>
                <w:ilvl w:val="0"/>
                <w:numId w:val="19"/>
              </w:numPr>
              <w:contextualSpacing/>
              <w:rPr>
                <w:color w:val="auto"/>
              </w:rPr>
            </w:pPr>
            <w:r w:rsidRPr="001408D5">
              <w:rPr>
                <w:color w:val="auto"/>
              </w:rPr>
              <w:t>Stakeholder educational materials, website materials, etc.</w:t>
            </w:r>
          </w:p>
          <w:p w14:paraId="4CF3420F" w14:textId="77777777" w:rsidR="00333E2B" w:rsidRPr="001408D5" w:rsidRDefault="00333E2B" w:rsidP="00595A8D">
            <w:pPr>
              <w:pStyle w:val="HSAGTableText"/>
              <w:numPr>
                <w:ilvl w:val="0"/>
                <w:numId w:val="19"/>
              </w:numPr>
              <w:contextualSpacing/>
              <w:rPr>
                <w:color w:val="auto"/>
              </w:rPr>
            </w:pPr>
            <w:r w:rsidRPr="001408D5">
              <w:rPr>
                <w:color w:val="auto"/>
              </w:rPr>
              <w:t xml:space="preserve">Informational materials for developers on </w:t>
            </w:r>
            <w:proofErr w:type="gramStart"/>
            <w:r w:rsidRPr="001408D5">
              <w:rPr>
                <w:color w:val="auto"/>
              </w:rPr>
              <w:t>website</w:t>
            </w:r>
            <w:proofErr w:type="gramEnd"/>
          </w:p>
          <w:p w14:paraId="2B3A20A1" w14:textId="77777777" w:rsidR="00333E2B" w:rsidRPr="001408D5" w:rsidRDefault="00333E2B" w:rsidP="00595A8D">
            <w:pPr>
              <w:pStyle w:val="HSAGTableText"/>
              <w:numPr>
                <w:ilvl w:val="0"/>
                <w:numId w:val="19"/>
              </w:numPr>
              <w:contextualSpacing/>
              <w:rPr>
                <w:color w:val="auto"/>
              </w:rPr>
            </w:pPr>
            <w:r w:rsidRPr="001408D5">
              <w:rPr>
                <w:color w:val="auto"/>
              </w:rPr>
              <w:t>Mechanisms to ensure data is updated within 30 calendar days of receipt of updated provider information</w:t>
            </w:r>
          </w:p>
          <w:p w14:paraId="70027888" w14:textId="77777777" w:rsidR="00333E2B" w:rsidRPr="001408D5" w:rsidRDefault="00333E2B" w:rsidP="00595A8D">
            <w:pPr>
              <w:pStyle w:val="HSAGTableText"/>
              <w:numPr>
                <w:ilvl w:val="0"/>
                <w:numId w:val="19"/>
              </w:numPr>
              <w:contextualSpacing/>
              <w:rPr>
                <w:color w:val="auto"/>
              </w:rPr>
            </w:pPr>
            <w:r w:rsidRPr="001408D5">
              <w:rPr>
                <w:color w:val="auto"/>
              </w:rPr>
              <w:lastRenderedPageBreak/>
              <w:t>Programming language that includes required information (e.g., parameters for all information included in 42 CFR §438.10(h</w:t>
            </w:r>
            <w:proofErr w:type="gramStart"/>
            <w:r w:rsidRPr="001408D5">
              <w:rPr>
                <w:color w:val="auto"/>
              </w:rPr>
              <w:t>)(</w:t>
            </w:r>
            <w:proofErr w:type="gramEnd"/>
            <w:r w:rsidRPr="001408D5">
              <w:rPr>
                <w:color w:val="auto"/>
              </w:rPr>
              <w:t>1–2))</w:t>
            </w:r>
          </w:p>
          <w:p w14:paraId="26524C2A" w14:textId="77777777" w:rsidR="00934CC9" w:rsidRDefault="00333E2B" w:rsidP="00595A8D">
            <w:pPr>
              <w:pStyle w:val="HSAGTableText"/>
              <w:numPr>
                <w:ilvl w:val="0"/>
                <w:numId w:val="19"/>
              </w:numPr>
              <w:contextualSpacing/>
              <w:rPr>
                <w:color w:val="auto"/>
              </w:rPr>
            </w:pPr>
            <w:r w:rsidRPr="001408D5">
              <w:rPr>
                <w:color w:val="auto"/>
              </w:rPr>
              <w:t>List of registered third-party applications</w:t>
            </w:r>
          </w:p>
          <w:p w14:paraId="6F7932EA" w14:textId="0C2298F3" w:rsidR="00333E2B" w:rsidRPr="00934CC9" w:rsidRDefault="00333E2B" w:rsidP="00595A8D">
            <w:pPr>
              <w:pStyle w:val="HSAGTableText"/>
              <w:numPr>
                <w:ilvl w:val="0"/>
                <w:numId w:val="19"/>
              </w:numPr>
              <w:contextualSpacing/>
              <w:rPr>
                <w:color w:val="auto"/>
              </w:rPr>
            </w:pPr>
            <w:r w:rsidRPr="00934CC9">
              <w:rPr>
                <w:color w:val="auto"/>
              </w:rPr>
              <w:t>HSAG will use the results from the web-based provider directory demonstration</w:t>
            </w:r>
          </w:p>
        </w:tc>
        <w:tc>
          <w:tcPr>
            <w:tcW w:w="1416" w:type="dxa"/>
            <w:vMerge w:val="restart"/>
            <w:shd w:val="clear" w:color="auto" w:fill="FFFFFF" w:themeFill="background1"/>
          </w:tcPr>
          <w:p w14:paraId="629973A9" w14:textId="77777777" w:rsidR="00333E2B" w:rsidRPr="001408D5" w:rsidRDefault="00000000" w:rsidP="00333E2B">
            <w:pPr>
              <w:spacing w:before="60" w:after="0"/>
              <w:contextualSpacing/>
              <w:rPr>
                <w:sz w:val="22"/>
              </w:rPr>
            </w:pPr>
            <w:sdt>
              <w:sdtPr>
                <w:rPr>
                  <w:sz w:val="22"/>
                </w:rPr>
                <w:id w:val="108166905"/>
                <w14:checkbox>
                  <w14:checked w14:val="0"/>
                  <w14:checkedState w14:val="2612" w14:font="MS Gothic"/>
                  <w14:uncheckedState w14:val="2610" w14:font="MS Gothic"/>
                </w14:checkbox>
              </w:sdtPr>
              <w:sdtContent>
                <w:r w:rsidR="00333E2B" w:rsidRPr="001408D5">
                  <w:rPr>
                    <w:rFonts w:ascii="MS Gothic" w:eastAsia="MS Gothic" w:hAnsi="MS Gothic" w:hint="eastAsia"/>
                    <w:sz w:val="22"/>
                  </w:rPr>
                  <w:t>☐</w:t>
                </w:r>
              </w:sdtContent>
            </w:sdt>
            <w:r w:rsidR="00333E2B" w:rsidRPr="001408D5">
              <w:rPr>
                <w:sz w:val="22"/>
              </w:rPr>
              <w:t xml:space="preserve"> Met</w:t>
            </w:r>
          </w:p>
          <w:p w14:paraId="33F717C0" w14:textId="77777777" w:rsidR="00333E2B" w:rsidRPr="001408D5" w:rsidRDefault="00000000" w:rsidP="00333E2B">
            <w:pPr>
              <w:spacing w:before="60" w:after="0"/>
              <w:contextualSpacing/>
              <w:rPr>
                <w:sz w:val="22"/>
              </w:rPr>
            </w:pPr>
            <w:sdt>
              <w:sdtPr>
                <w:rPr>
                  <w:sz w:val="22"/>
                </w:rPr>
                <w:id w:val="1646939333"/>
                <w14:checkbox>
                  <w14:checked w14:val="1"/>
                  <w14:checkedState w14:val="2612" w14:font="MS Gothic"/>
                  <w14:uncheckedState w14:val="2610" w14:font="MS Gothic"/>
                </w14:checkbox>
              </w:sdtPr>
              <w:sdtContent>
                <w:r w:rsidR="00333E2B" w:rsidRPr="001408D5">
                  <w:rPr>
                    <w:rFonts w:ascii="MS Gothic" w:eastAsia="MS Gothic" w:hAnsi="MS Gothic" w:hint="eastAsia"/>
                    <w:sz w:val="22"/>
                  </w:rPr>
                  <w:t>☒</w:t>
                </w:r>
              </w:sdtContent>
            </w:sdt>
            <w:r w:rsidR="00333E2B" w:rsidRPr="001408D5">
              <w:rPr>
                <w:sz w:val="22"/>
              </w:rPr>
              <w:t xml:space="preserve"> Not Met</w:t>
            </w:r>
          </w:p>
          <w:p w14:paraId="2956F62C" w14:textId="77777777" w:rsidR="00333E2B" w:rsidRPr="001408D5" w:rsidRDefault="00000000" w:rsidP="00333E2B">
            <w:pPr>
              <w:spacing w:before="60" w:after="0"/>
              <w:contextualSpacing/>
              <w:rPr>
                <w:sz w:val="22"/>
              </w:rPr>
            </w:pPr>
            <w:sdt>
              <w:sdtPr>
                <w:rPr>
                  <w:sz w:val="22"/>
                </w:rPr>
                <w:id w:val="-2050372132"/>
                <w14:checkbox>
                  <w14:checked w14:val="0"/>
                  <w14:checkedState w14:val="2612" w14:font="MS Gothic"/>
                  <w14:uncheckedState w14:val="2610" w14:font="MS Gothic"/>
                </w14:checkbox>
              </w:sdtPr>
              <w:sdtContent>
                <w:r w:rsidR="00333E2B" w:rsidRPr="001408D5">
                  <w:rPr>
                    <w:rFonts w:ascii="MS Gothic" w:eastAsia="MS Gothic" w:hAnsi="MS Gothic" w:hint="eastAsia"/>
                    <w:sz w:val="22"/>
                  </w:rPr>
                  <w:t>☐</w:t>
                </w:r>
              </w:sdtContent>
            </w:sdt>
            <w:r w:rsidR="00333E2B" w:rsidRPr="001408D5">
              <w:rPr>
                <w:sz w:val="22"/>
              </w:rPr>
              <w:t xml:space="preserve"> NA</w:t>
            </w:r>
          </w:p>
          <w:p w14:paraId="17A33299" w14:textId="77777777" w:rsidR="00333E2B" w:rsidRPr="00903F99" w:rsidRDefault="00333E2B" w:rsidP="00333E2B">
            <w:pPr>
              <w:spacing w:before="0" w:after="0"/>
              <w:contextualSpacing/>
              <w:rPr>
                <w:sz w:val="22"/>
              </w:rPr>
            </w:pPr>
          </w:p>
        </w:tc>
      </w:tr>
      <w:tr w:rsidR="00333E2B" w:rsidRPr="00903F99" w14:paraId="6A463389" w14:textId="77777777" w:rsidTr="00591030">
        <w:trPr>
          <w:trHeight w:val="374"/>
          <w:jc w:val="center"/>
        </w:trPr>
        <w:tc>
          <w:tcPr>
            <w:tcW w:w="6475" w:type="dxa"/>
            <w:vMerge/>
          </w:tcPr>
          <w:p w14:paraId="195D56D9" w14:textId="77777777" w:rsidR="00333E2B" w:rsidRPr="00903F99" w:rsidRDefault="00333E2B" w:rsidP="00595A8D">
            <w:pPr>
              <w:pStyle w:val="HSAGNumbers"/>
              <w:numPr>
                <w:ilvl w:val="0"/>
                <w:numId w:val="16"/>
              </w:numPr>
              <w:spacing w:before="0" w:after="0"/>
              <w:contextualSpacing/>
            </w:pPr>
          </w:p>
        </w:tc>
        <w:tc>
          <w:tcPr>
            <w:tcW w:w="6120" w:type="dxa"/>
            <w:gridSpan w:val="2"/>
            <w:shd w:val="clear" w:color="auto" w:fill="FFFFFF" w:themeFill="background1"/>
          </w:tcPr>
          <w:p w14:paraId="082EAC29" w14:textId="77777777" w:rsidR="00333E2B" w:rsidRPr="001408D5" w:rsidRDefault="00333E2B" w:rsidP="00333E2B">
            <w:pPr>
              <w:pStyle w:val="HSAGTableText"/>
              <w:contextualSpacing/>
              <w:rPr>
                <w:b/>
                <w:bCs/>
              </w:rPr>
            </w:pPr>
            <w:r w:rsidRPr="001408D5">
              <w:rPr>
                <w:b/>
                <w:bCs/>
              </w:rPr>
              <w:t>Evidence as Submitted by the PIHP:</w:t>
            </w:r>
          </w:p>
          <w:p w14:paraId="018F60E3" w14:textId="77777777" w:rsidR="00333E2B" w:rsidRPr="001408D5" w:rsidRDefault="00333E2B" w:rsidP="00595A8D">
            <w:pPr>
              <w:pStyle w:val="HSAGTableText"/>
              <w:numPr>
                <w:ilvl w:val="0"/>
                <w:numId w:val="37"/>
              </w:numPr>
              <w:contextualSpacing/>
            </w:pPr>
            <w:hyperlink r:id="rId10">
              <w:r w:rsidRPr="001408D5">
                <w:rPr>
                  <w:rStyle w:val="Hyperlink"/>
                </w:rPr>
                <w:t>https://www.nmre.org/data-sharing/</w:t>
              </w:r>
            </w:hyperlink>
          </w:p>
          <w:p w14:paraId="74849C95" w14:textId="77777777" w:rsidR="00333E2B" w:rsidRPr="001408D5" w:rsidRDefault="00333E2B" w:rsidP="00595A8D">
            <w:pPr>
              <w:pStyle w:val="HSAGTableText"/>
              <w:numPr>
                <w:ilvl w:val="0"/>
                <w:numId w:val="37"/>
              </w:numPr>
              <w:contextualSpacing/>
            </w:pPr>
            <w:r w:rsidRPr="001408D5">
              <w:t>PIX_9_4_API_Documentation.pdf</w:t>
            </w:r>
          </w:p>
          <w:p w14:paraId="4C6C2BB2" w14:textId="77777777" w:rsidR="00934CC9" w:rsidRDefault="00333E2B" w:rsidP="00595A8D">
            <w:pPr>
              <w:pStyle w:val="HSAGTableText"/>
              <w:numPr>
                <w:ilvl w:val="0"/>
                <w:numId w:val="37"/>
              </w:numPr>
              <w:contextualSpacing/>
            </w:pPr>
            <w:r w:rsidRPr="001408D5">
              <w:t>Payer Data Exchange – PCE User Manual.pdf</w:t>
            </w:r>
          </w:p>
          <w:p w14:paraId="2CD98C7D" w14:textId="12E092CB" w:rsidR="00333E2B" w:rsidRPr="00903F99" w:rsidRDefault="00333E2B" w:rsidP="00595A8D">
            <w:pPr>
              <w:pStyle w:val="HSAGTableText"/>
              <w:numPr>
                <w:ilvl w:val="0"/>
                <w:numId w:val="37"/>
              </w:numPr>
              <w:contextualSpacing/>
            </w:pPr>
            <w:r w:rsidRPr="001408D5">
              <w:t>NMRE MAILER 012125.pdf</w:t>
            </w:r>
          </w:p>
        </w:tc>
        <w:tc>
          <w:tcPr>
            <w:tcW w:w="1416" w:type="dxa"/>
            <w:vMerge/>
            <w:shd w:val="clear" w:color="auto" w:fill="FFFFFF" w:themeFill="background1"/>
          </w:tcPr>
          <w:p w14:paraId="30EF6018" w14:textId="77777777" w:rsidR="00333E2B" w:rsidRPr="00903F99" w:rsidRDefault="00333E2B" w:rsidP="00333E2B">
            <w:pPr>
              <w:spacing w:before="0" w:after="0"/>
              <w:contextualSpacing/>
              <w:rPr>
                <w:sz w:val="22"/>
              </w:rPr>
            </w:pPr>
          </w:p>
        </w:tc>
      </w:tr>
      <w:tr w:rsidR="00333E2B" w:rsidRPr="00903F99" w14:paraId="3FD0B36B" w14:textId="77777777" w:rsidTr="00591030">
        <w:trPr>
          <w:trHeight w:val="374"/>
          <w:jc w:val="center"/>
        </w:trPr>
        <w:tc>
          <w:tcPr>
            <w:tcW w:w="14011" w:type="dxa"/>
            <w:gridSpan w:val="4"/>
            <w:vAlign w:val="center"/>
          </w:tcPr>
          <w:p w14:paraId="2233FF2A" w14:textId="095193F7" w:rsidR="00333E2B" w:rsidRPr="00903F99" w:rsidRDefault="00333E2B" w:rsidP="00333E2B">
            <w:pPr>
              <w:pStyle w:val="HSAGTableText"/>
              <w:spacing w:before="0" w:after="0"/>
            </w:pPr>
            <w:r w:rsidRPr="001408D5">
              <w:rPr>
                <w:b/>
                <w:bCs/>
              </w:rPr>
              <w:t>PIHP Description of Process:</w:t>
            </w:r>
            <w:r w:rsidRPr="001408D5">
              <w:t xml:space="preserve"> In our ongoing effort to meet CMS interoperability standards, NMRE collaborates with our EHR vendor, PCE Systems. Together, we ensure the secure and </w:t>
            </w:r>
            <w:proofErr w:type="gramStart"/>
            <w:r w:rsidRPr="001408D5">
              <w:t>compliant</w:t>
            </w:r>
            <w:proofErr w:type="gramEnd"/>
            <w:r w:rsidRPr="001408D5">
              <w:t xml:space="preserve"> sharing of healthcare information in a way that meets the needs of our beneficiaries while protecting their privacy. Our website has information about both APIs including links to the API and documentation.</w:t>
            </w:r>
          </w:p>
        </w:tc>
      </w:tr>
      <w:tr w:rsidR="00333E2B" w:rsidRPr="0026679F" w14:paraId="7838F3AD" w14:textId="77777777" w:rsidTr="00591030">
        <w:trPr>
          <w:trHeight w:val="374"/>
          <w:jc w:val="center"/>
        </w:trPr>
        <w:tc>
          <w:tcPr>
            <w:tcW w:w="14011" w:type="dxa"/>
            <w:gridSpan w:val="4"/>
            <w:tcBorders>
              <w:bottom w:val="single" w:sz="4" w:space="0" w:color="000000"/>
            </w:tcBorders>
            <w:vAlign w:val="center"/>
          </w:tcPr>
          <w:p w14:paraId="19A62D7F" w14:textId="77777777" w:rsidR="00333E2B" w:rsidRPr="001408D5" w:rsidRDefault="00333E2B" w:rsidP="00333E2B">
            <w:pPr>
              <w:contextualSpacing/>
              <w:rPr>
                <w:rFonts w:eastAsia="Calibri"/>
                <w:color w:val="000000"/>
                <w:sz w:val="22"/>
              </w:rPr>
            </w:pPr>
            <w:r w:rsidRPr="001408D5">
              <w:rPr>
                <w:b/>
                <w:sz w:val="22"/>
              </w:rPr>
              <w:t>HSAG Findings:</w:t>
            </w:r>
            <w:r w:rsidRPr="001408D5">
              <w:rPr>
                <w:sz w:val="22"/>
              </w:rPr>
              <w:t xml:space="preserve"> While the PIHP implemented the Provider Directory API, the</w:t>
            </w:r>
            <w:r w:rsidRPr="001408D5">
              <w:rPr>
                <w:rFonts w:eastAsia="Calibri"/>
                <w:color w:val="000000"/>
                <w:sz w:val="22"/>
              </w:rPr>
              <w:t xml:space="preserve"> CMS Interoperability and Patient Access Final Rule requires the Provider Directory API to include all information specified in 42 CFR §438.10(h</w:t>
            </w:r>
            <w:proofErr w:type="gramStart"/>
            <w:r w:rsidRPr="001408D5">
              <w:rPr>
                <w:rFonts w:eastAsia="Calibri"/>
                <w:color w:val="000000"/>
                <w:sz w:val="22"/>
              </w:rPr>
              <w:t>)(</w:t>
            </w:r>
            <w:proofErr w:type="gramEnd"/>
            <w:r w:rsidRPr="001408D5">
              <w:rPr>
                <w:rFonts w:eastAsia="Calibri"/>
                <w:color w:val="000000"/>
                <w:sz w:val="22"/>
              </w:rPr>
              <w:t>1-2), which includes:</w:t>
            </w:r>
          </w:p>
          <w:p w14:paraId="172C0E8C" w14:textId="77777777" w:rsidR="00333E2B" w:rsidRPr="001408D5" w:rsidRDefault="00333E2B" w:rsidP="00595A8D">
            <w:pPr>
              <w:numPr>
                <w:ilvl w:val="0"/>
                <w:numId w:val="38"/>
              </w:numPr>
              <w:spacing w:before="60" w:after="60"/>
              <w:contextualSpacing/>
              <w:rPr>
                <w:rFonts w:eastAsia="Calibri" w:cs="Times New Roman"/>
                <w:color w:val="000000"/>
                <w:sz w:val="22"/>
              </w:rPr>
            </w:pPr>
            <w:r w:rsidRPr="001408D5">
              <w:rPr>
                <w:rFonts w:eastAsia="Calibri" w:cs="Times New Roman"/>
                <w:color w:val="000000"/>
                <w:sz w:val="22"/>
              </w:rPr>
              <w:t>The provider’s name as well as any group affiliation</w:t>
            </w:r>
            <w:r>
              <w:rPr>
                <w:rFonts w:eastAsia="Calibri" w:cs="Times New Roman"/>
                <w:color w:val="000000"/>
                <w:sz w:val="22"/>
              </w:rPr>
              <w:t>.</w:t>
            </w:r>
          </w:p>
          <w:p w14:paraId="1036C730" w14:textId="77777777" w:rsidR="00333E2B" w:rsidRPr="001408D5" w:rsidRDefault="00333E2B" w:rsidP="00595A8D">
            <w:pPr>
              <w:numPr>
                <w:ilvl w:val="0"/>
                <w:numId w:val="38"/>
              </w:numPr>
              <w:spacing w:before="60" w:after="60"/>
              <w:contextualSpacing/>
              <w:rPr>
                <w:rFonts w:eastAsia="Calibri" w:cs="Times New Roman"/>
                <w:color w:val="000000"/>
                <w:sz w:val="22"/>
              </w:rPr>
            </w:pPr>
            <w:r w:rsidRPr="001408D5">
              <w:rPr>
                <w:rFonts w:eastAsia="Calibri" w:cs="Times New Roman"/>
                <w:color w:val="000000"/>
                <w:sz w:val="22"/>
              </w:rPr>
              <w:t>Street address(es)</w:t>
            </w:r>
            <w:r>
              <w:rPr>
                <w:rFonts w:eastAsia="Calibri" w:cs="Times New Roman"/>
                <w:color w:val="000000"/>
                <w:sz w:val="22"/>
              </w:rPr>
              <w:t>.</w:t>
            </w:r>
          </w:p>
          <w:p w14:paraId="20842400" w14:textId="77777777" w:rsidR="00333E2B" w:rsidRPr="001408D5" w:rsidRDefault="00333E2B" w:rsidP="00595A8D">
            <w:pPr>
              <w:numPr>
                <w:ilvl w:val="0"/>
                <w:numId w:val="38"/>
              </w:numPr>
              <w:spacing w:before="60" w:after="60"/>
              <w:contextualSpacing/>
              <w:rPr>
                <w:rFonts w:eastAsia="Calibri" w:cs="Times New Roman"/>
                <w:color w:val="000000"/>
                <w:sz w:val="22"/>
              </w:rPr>
            </w:pPr>
            <w:r w:rsidRPr="001408D5">
              <w:rPr>
                <w:rFonts w:eastAsia="Calibri" w:cs="Times New Roman"/>
                <w:color w:val="000000"/>
                <w:sz w:val="22"/>
              </w:rPr>
              <w:t>Telephone number(s)</w:t>
            </w:r>
            <w:r>
              <w:rPr>
                <w:rFonts w:eastAsia="Calibri" w:cs="Times New Roman"/>
                <w:color w:val="000000"/>
                <w:sz w:val="22"/>
              </w:rPr>
              <w:t>.</w:t>
            </w:r>
          </w:p>
          <w:p w14:paraId="0865EA3F" w14:textId="77777777" w:rsidR="00333E2B" w:rsidRPr="001408D5" w:rsidRDefault="00333E2B" w:rsidP="00595A8D">
            <w:pPr>
              <w:numPr>
                <w:ilvl w:val="0"/>
                <w:numId w:val="38"/>
              </w:numPr>
              <w:spacing w:before="60" w:after="60"/>
              <w:contextualSpacing/>
              <w:rPr>
                <w:rFonts w:eastAsia="Calibri" w:cs="Times New Roman"/>
                <w:color w:val="000000"/>
                <w:sz w:val="22"/>
              </w:rPr>
            </w:pPr>
            <w:r w:rsidRPr="001408D5">
              <w:rPr>
                <w:rFonts w:eastAsia="Calibri" w:cs="Times New Roman"/>
                <w:color w:val="000000"/>
                <w:sz w:val="22"/>
              </w:rPr>
              <w:t>Website uniform resource locator (URL), as appropriate</w:t>
            </w:r>
            <w:r>
              <w:rPr>
                <w:rFonts w:eastAsia="Calibri" w:cs="Times New Roman"/>
                <w:color w:val="000000"/>
                <w:sz w:val="22"/>
              </w:rPr>
              <w:t>.</w:t>
            </w:r>
          </w:p>
          <w:p w14:paraId="48D828FC" w14:textId="77777777" w:rsidR="00333E2B" w:rsidRPr="001408D5" w:rsidRDefault="00333E2B" w:rsidP="00595A8D">
            <w:pPr>
              <w:numPr>
                <w:ilvl w:val="0"/>
                <w:numId w:val="38"/>
              </w:numPr>
              <w:spacing w:before="60" w:after="60"/>
              <w:contextualSpacing/>
              <w:rPr>
                <w:rFonts w:eastAsia="Calibri" w:cs="Times New Roman"/>
                <w:color w:val="000000"/>
                <w:sz w:val="22"/>
              </w:rPr>
            </w:pPr>
            <w:r w:rsidRPr="001408D5">
              <w:rPr>
                <w:rFonts w:eastAsia="Calibri" w:cs="Times New Roman"/>
                <w:color w:val="000000"/>
                <w:sz w:val="22"/>
              </w:rPr>
              <w:t>Specialty, as appropriate</w:t>
            </w:r>
            <w:r>
              <w:rPr>
                <w:rFonts w:eastAsia="Calibri" w:cs="Times New Roman"/>
                <w:color w:val="000000"/>
                <w:sz w:val="22"/>
              </w:rPr>
              <w:t>.</w:t>
            </w:r>
          </w:p>
          <w:p w14:paraId="27A92AEF" w14:textId="77777777" w:rsidR="00333E2B" w:rsidRPr="001408D5" w:rsidRDefault="00333E2B" w:rsidP="00595A8D">
            <w:pPr>
              <w:numPr>
                <w:ilvl w:val="0"/>
                <w:numId w:val="38"/>
              </w:numPr>
              <w:spacing w:before="60" w:after="60"/>
              <w:contextualSpacing/>
              <w:rPr>
                <w:rFonts w:eastAsia="Calibri" w:cs="Times New Roman"/>
                <w:color w:val="000000"/>
                <w:sz w:val="22"/>
              </w:rPr>
            </w:pPr>
            <w:r w:rsidRPr="001408D5">
              <w:rPr>
                <w:rFonts w:eastAsia="Calibri" w:cs="Times New Roman"/>
                <w:color w:val="000000"/>
                <w:sz w:val="22"/>
              </w:rPr>
              <w:t>Whether the provider will accept new members</w:t>
            </w:r>
            <w:r>
              <w:rPr>
                <w:rFonts w:eastAsia="Calibri" w:cs="Times New Roman"/>
                <w:color w:val="000000"/>
                <w:sz w:val="22"/>
              </w:rPr>
              <w:t>.</w:t>
            </w:r>
          </w:p>
          <w:p w14:paraId="1FE0CF12" w14:textId="77777777" w:rsidR="00333E2B" w:rsidRPr="001408D5" w:rsidRDefault="00333E2B" w:rsidP="00595A8D">
            <w:pPr>
              <w:numPr>
                <w:ilvl w:val="0"/>
                <w:numId w:val="38"/>
              </w:numPr>
              <w:spacing w:before="60" w:after="60"/>
              <w:contextualSpacing/>
              <w:rPr>
                <w:rFonts w:eastAsia="Calibri" w:cs="Times New Roman"/>
                <w:color w:val="000000"/>
                <w:sz w:val="22"/>
              </w:rPr>
            </w:pPr>
            <w:r w:rsidRPr="001408D5">
              <w:rPr>
                <w:rFonts w:eastAsia="Calibri" w:cs="Times New Roman"/>
                <w:color w:val="000000"/>
                <w:sz w:val="22"/>
              </w:rPr>
              <w:t>The provider’s cultural and linguistic capabilities, including languages (including American Sign Language) offered by the provider or a skilled medical interpreter at the provider’s office</w:t>
            </w:r>
            <w:r>
              <w:rPr>
                <w:rFonts w:eastAsia="Calibri" w:cs="Times New Roman"/>
                <w:color w:val="000000"/>
                <w:sz w:val="22"/>
              </w:rPr>
              <w:t>.</w:t>
            </w:r>
          </w:p>
          <w:p w14:paraId="0E749A84" w14:textId="77777777" w:rsidR="00333E2B" w:rsidRPr="001408D5" w:rsidRDefault="00333E2B" w:rsidP="00595A8D">
            <w:pPr>
              <w:numPr>
                <w:ilvl w:val="0"/>
                <w:numId w:val="38"/>
              </w:numPr>
              <w:spacing w:before="60" w:after="60"/>
              <w:contextualSpacing/>
              <w:rPr>
                <w:rFonts w:eastAsia="Calibri" w:cs="Times New Roman"/>
                <w:color w:val="000000"/>
                <w:sz w:val="22"/>
              </w:rPr>
            </w:pPr>
            <w:r w:rsidRPr="001408D5">
              <w:rPr>
                <w:rFonts w:eastAsia="Calibri" w:cs="Times New Roman"/>
                <w:color w:val="000000"/>
                <w:sz w:val="22"/>
              </w:rPr>
              <w:t>Whether the provider’s office/facility has accommodations for people with physical disabilities, including offices, exam room(s), and equipment</w:t>
            </w:r>
            <w:r>
              <w:rPr>
                <w:rFonts w:eastAsia="Calibri" w:cs="Times New Roman"/>
                <w:color w:val="000000"/>
                <w:sz w:val="22"/>
              </w:rPr>
              <w:t>.</w:t>
            </w:r>
          </w:p>
          <w:p w14:paraId="2A587D8A" w14:textId="77777777" w:rsidR="00333E2B" w:rsidRPr="001408D5" w:rsidRDefault="00333E2B" w:rsidP="00333E2B">
            <w:pPr>
              <w:pStyle w:val="HSAGTableText"/>
              <w:rPr>
                <w:rFonts w:eastAsia="Calibri"/>
                <w:color w:val="auto"/>
              </w:rPr>
            </w:pPr>
            <w:r w:rsidRPr="001408D5">
              <w:rPr>
                <w:rFonts w:eastAsia="Calibri"/>
                <w:color w:val="auto"/>
              </w:rPr>
              <w:t xml:space="preserve">HSAG reviewers could not verify the </w:t>
            </w:r>
            <w:proofErr w:type="gramStart"/>
            <w:r w:rsidRPr="001408D5">
              <w:rPr>
                <w:rFonts w:eastAsia="Calibri"/>
                <w:color w:val="auto"/>
              </w:rPr>
              <w:t>provider</w:t>
            </w:r>
            <w:proofErr w:type="gramEnd"/>
            <w:r w:rsidRPr="001408D5">
              <w:rPr>
                <w:rFonts w:eastAsia="Calibri"/>
                <w:color w:val="auto"/>
              </w:rPr>
              <w:t xml:space="preserve"> information available via the API and requested confirmation of the specific data elements that were available. During the site review, the PIHP was able to demonstrate various data elements that were available via the API, such as the provider’s name, street address, and telephone number; however, while the PIHP indicated the provider’s cultural linguistic capabilities and whether the provider’s </w:t>
            </w:r>
            <w:r w:rsidRPr="001408D5">
              <w:rPr>
                <w:rFonts w:eastAsia="Calibri"/>
                <w:color w:val="auto"/>
              </w:rPr>
              <w:lastRenderedPageBreak/>
              <w:t xml:space="preserve">office/facility had accommodations for people with physical disabilities, it did not maintain the capability to translate this information to the Provider Directory API. After the site review, the PIHP provided an </w:t>
            </w:r>
            <w:r w:rsidRPr="001408D5">
              <w:rPr>
                <w:rFonts w:eastAsia="Calibri"/>
                <w:i/>
                <w:iCs/>
                <w:color w:val="auto"/>
              </w:rPr>
              <w:t>SXII Element 3 API Follow up PCE</w:t>
            </w:r>
            <w:r w:rsidRPr="001408D5">
              <w:rPr>
                <w:rFonts w:eastAsia="Calibri"/>
                <w:color w:val="auto"/>
              </w:rPr>
              <w:t xml:space="preserve"> screenshot and indicated, “We now have the ability to include ‘language spoken’ on the Payer Provider Directory [and] there is a new ‘Accessibility’ section which can be included on your ‘provider’ record/screen, which will also be shared via provider directory…It looks like a few more may still be missing such as URL &amp; ‘Specialty’. We will be working on adding those into the ‘capabilities’, at which point we could add it to the individual systems.” Based on HSAG’s desk review, discussion during the site review, and the explanation provided by the PIHP after the site review, the PIHP was not compliant with all Provider Directory API requirements. </w:t>
            </w:r>
          </w:p>
          <w:p w14:paraId="447FDC73" w14:textId="1FD4EAD4" w:rsidR="00333E2B" w:rsidRPr="0026679F" w:rsidRDefault="00333E2B" w:rsidP="00333E2B">
            <w:pPr>
              <w:pStyle w:val="HSAGTableText"/>
              <w:spacing w:before="0"/>
            </w:pPr>
            <w:r w:rsidRPr="001408D5">
              <w:rPr>
                <w:rFonts w:eastAsia="Calibri"/>
                <w:b/>
                <w:bCs/>
                <w:iCs/>
                <w:color w:val="auto"/>
              </w:rPr>
              <w:t>Recommendations:</w:t>
            </w:r>
            <w:r w:rsidRPr="001408D5">
              <w:rPr>
                <w:rFonts w:eastAsia="Calibri"/>
                <w:iCs/>
                <w:color w:val="auto"/>
              </w:rPr>
              <w:t xml:space="preserve"> </w:t>
            </w:r>
            <w:r w:rsidRPr="001408D5">
              <w:t xml:space="preserve">HSAG strongly recommends that the PIHP develop its own policies and procedures for its Provider Directory API and includes a description of how it implements the federal provisions. Additionally, the PIHP must ensure it implements all new requirements outlined under the CMS Interoperability and Prior Authorization Final Rule (CMS-0057-F). If the PIHP does not demonstrate adequate implementation of HSAG’s recommendations during future compliance reviews, the PIHP may receive a </w:t>
            </w:r>
            <w:r w:rsidRPr="001408D5">
              <w:rPr>
                <w:i/>
                <w:iCs/>
              </w:rPr>
              <w:t>Not Met</w:t>
            </w:r>
            <w:r w:rsidRPr="001408D5">
              <w:t xml:space="preserve"> score.</w:t>
            </w:r>
          </w:p>
        </w:tc>
      </w:tr>
      <w:tr w:rsidR="00333E2B" w:rsidRPr="0026679F" w14:paraId="7C818843" w14:textId="77777777" w:rsidTr="00591030">
        <w:trPr>
          <w:trHeight w:val="374"/>
          <w:jc w:val="center"/>
        </w:trPr>
        <w:tc>
          <w:tcPr>
            <w:tcW w:w="14011" w:type="dxa"/>
            <w:gridSpan w:val="4"/>
            <w:tcBorders>
              <w:top w:val="single" w:sz="4" w:space="0" w:color="000000"/>
              <w:bottom w:val="single" w:sz="4" w:space="0" w:color="auto"/>
            </w:tcBorders>
            <w:vAlign w:val="center"/>
          </w:tcPr>
          <w:p w14:paraId="3BE93420" w14:textId="46419CBC" w:rsidR="00333E2B" w:rsidRPr="0026679F" w:rsidRDefault="00333E2B" w:rsidP="00333E2B">
            <w:pPr>
              <w:pStyle w:val="HSAGTableText"/>
              <w:rPr>
                <w:b/>
              </w:rPr>
            </w:pPr>
            <w:r w:rsidRPr="001408D5">
              <w:rPr>
                <w:b/>
              </w:rPr>
              <w:lastRenderedPageBreak/>
              <w:t>Required Actions:</w:t>
            </w:r>
            <w:r w:rsidRPr="001408D5">
              <w:t xml:space="preserve"> The PIHP’s provider directory must comply with all data elements required by 42 CFR §438.242(b)(6) and 42 CFR §438.10(h</w:t>
            </w:r>
            <w:proofErr w:type="gramStart"/>
            <w:r w:rsidRPr="001408D5">
              <w:t>)(</w:t>
            </w:r>
            <w:proofErr w:type="gramEnd"/>
            <w:r w:rsidRPr="001408D5">
              <w:t>1–2).</w:t>
            </w:r>
          </w:p>
        </w:tc>
      </w:tr>
      <w:tr w:rsidR="00333E2B" w:rsidRPr="00D16F05" w14:paraId="3868B835" w14:textId="77777777" w:rsidTr="00591030">
        <w:tblPrEx>
          <w:tblCellMar>
            <w:left w:w="108" w:type="dxa"/>
            <w:right w:w="108" w:type="dxa"/>
          </w:tblCellMar>
        </w:tblPrEx>
        <w:trPr>
          <w:trHeight w:val="374"/>
          <w:jc w:val="center"/>
        </w:trPr>
        <w:tc>
          <w:tcPr>
            <w:tcW w:w="14011" w:type="dxa"/>
            <w:gridSpan w:val="4"/>
            <w:tcBorders>
              <w:top w:val="single" w:sz="4" w:space="0" w:color="auto"/>
              <w:bottom w:val="single" w:sz="4" w:space="0" w:color="000000" w:themeColor="text1"/>
            </w:tcBorders>
            <w:shd w:val="clear" w:color="auto" w:fill="F79548" w:themeFill="accent4"/>
          </w:tcPr>
          <w:p w14:paraId="10556DFA" w14:textId="77777777" w:rsidR="00333E2B" w:rsidRPr="00D16F05" w:rsidRDefault="00333E2B" w:rsidP="00333E2B">
            <w:pPr>
              <w:pStyle w:val="HSAGTableText"/>
              <w:keepNext/>
              <w:contextualSpacing/>
              <w:rPr>
                <w:b/>
              </w:rPr>
            </w:pPr>
            <w:r>
              <w:rPr>
                <w:b/>
              </w:rPr>
              <w:t>PIHP Corrective Action Plan</w:t>
            </w:r>
          </w:p>
        </w:tc>
      </w:tr>
      <w:tr w:rsidR="00333E2B" w:rsidRPr="00984D92" w14:paraId="6943C7BA" w14:textId="77777777" w:rsidTr="00591030">
        <w:tblPrEx>
          <w:tblCellMar>
            <w:left w:w="108" w:type="dxa"/>
            <w:right w:w="108" w:type="dxa"/>
          </w:tblCellMar>
        </w:tblPrEx>
        <w:trPr>
          <w:trHeight w:val="374"/>
          <w:jc w:val="center"/>
        </w:trPr>
        <w:tc>
          <w:tcPr>
            <w:tcW w:w="14011" w:type="dxa"/>
            <w:gridSpan w:val="4"/>
            <w:tcBorders>
              <w:top w:val="single" w:sz="4" w:space="0" w:color="000000"/>
              <w:bottom w:val="single" w:sz="4" w:space="0" w:color="000000" w:themeColor="text1"/>
            </w:tcBorders>
          </w:tcPr>
          <w:p w14:paraId="246F9F6C" w14:textId="4BFE2BC3" w:rsidR="00333E2B" w:rsidRPr="00984D92" w:rsidRDefault="00333E2B" w:rsidP="00333E2B">
            <w:pPr>
              <w:pStyle w:val="HSAGTableText"/>
              <w:contextualSpacing/>
              <w:rPr>
                <w:bCs/>
              </w:rPr>
            </w:pPr>
            <w:r>
              <w:rPr>
                <w:b/>
              </w:rPr>
              <w:t>Root Cause Analysis:</w:t>
            </w:r>
            <w:r w:rsidRPr="003F5489">
              <w:rPr>
                <w:bCs/>
              </w:rPr>
              <w:t xml:space="preserve"> </w:t>
            </w:r>
            <w:r w:rsidR="00A81EE8">
              <w:rPr>
                <w:rStyle w:val="normaltextrun"/>
                <w:color w:val="000000"/>
                <w:szCs w:val="22"/>
                <w:shd w:val="clear" w:color="auto" w:fill="FFFFFF"/>
              </w:rPr>
              <w:t xml:space="preserve">The NMRE did not have a documented policy or procedure outlining the oversight, testing, and verification of its Provider Directory API as required by CMS interoperability standards. While the API was implemented and contained </w:t>
            </w:r>
            <w:proofErr w:type="gramStart"/>
            <w:r w:rsidR="00A81EE8">
              <w:rPr>
                <w:rStyle w:val="normaltextrun"/>
                <w:color w:val="000000"/>
                <w:szCs w:val="22"/>
                <w:shd w:val="clear" w:color="auto" w:fill="FFFFFF"/>
              </w:rPr>
              <w:t>the majority of</w:t>
            </w:r>
            <w:proofErr w:type="gramEnd"/>
            <w:r w:rsidR="00A81EE8">
              <w:rPr>
                <w:rStyle w:val="normaltextrun"/>
                <w:color w:val="000000"/>
                <w:szCs w:val="22"/>
                <w:shd w:val="clear" w:color="auto" w:fill="FFFFFF"/>
              </w:rPr>
              <w:t xml:space="preserve"> required data elements at the time of review, several data fields—such as provider URL and specialty—were added after the site review was conducted. The absence of written documentation specifying the process for testing, data validation, and vendor oversight contributed to the lack of sufficient evidence for full compliance during the audit.</w:t>
            </w:r>
          </w:p>
        </w:tc>
      </w:tr>
      <w:tr w:rsidR="00333E2B" w:rsidRPr="00FC2C0F" w14:paraId="2EF2D122" w14:textId="77777777" w:rsidTr="00591030">
        <w:tblPrEx>
          <w:tblCellMar>
            <w:left w:w="108" w:type="dxa"/>
            <w:right w:w="108" w:type="dxa"/>
          </w:tblCellMar>
        </w:tblPrEx>
        <w:trPr>
          <w:trHeight w:val="374"/>
          <w:jc w:val="center"/>
        </w:trPr>
        <w:tc>
          <w:tcPr>
            <w:tcW w:w="14011" w:type="dxa"/>
            <w:gridSpan w:val="4"/>
            <w:tcBorders>
              <w:top w:val="single" w:sz="4" w:space="0" w:color="000000"/>
              <w:bottom w:val="single" w:sz="4" w:space="0" w:color="000000" w:themeColor="text1"/>
            </w:tcBorders>
          </w:tcPr>
          <w:p w14:paraId="68520E13" w14:textId="661846F5" w:rsidR="00333E2B" w:rsidRPr="00FC2C0F" w:rsidRDefault="00333E2B" w:rsidP="00333E2B">
            <w:pPr>
              <w:pStyle w:val="HSAGTableText"/>
              <w:contextualSpacing/>
              <w:rPr>
                <w:bCs/>
              </w:rPr>
            </w:pPr>
            <w:r>
              <w:rPr>
                <w:b/>
              </w:rPr>
              <w:t>PIHP Remediation Plan</w:t>
            </w:r>
            <w:r w:rsidRPr="00B30934">
              <w:rPr>
                <w:b/>
              </w:rPr>
              <w:t>:</w:t>
            </w:r>
            <w:r>
              <w:rPr>
                <w:bCs/>
              </w:rPr>
              <w:t xml:space="preserve"> </w:t>
            </w:r>
            <w:r w:rsidR="00A81EE8">
              <w:rPr>
                <w:rStyle w:val="normaltextrun"/>
                <w:color w:val="000000"/>
                <w:szCs w:val="22"/>
                <w:shd w:val="clear" w:color="auto" w:fill="FFFFFF"/>
              </w:rPr>
              <w:t>Since the last communication with HSAG outlining that PCE had added language and accessibility sections, they have also completed the addition of the URL and specialty records. This means that our system now fully supports all API data elements required under 42 CFR §438.10(h</w:t>
            </w:r>
            <w:proofErr w:type="gramStart"/>
            <w:r w:rsidR="00A81EE8">
              <w:rPr>
                <w:rStyle w:val="normaltextrun"/>
                <w:color w:val="000000"/>
                <w:szCs w:val="22"/>
                <w:shd w:val="clear" w:color="auto" w:fill="FFFFFF"/>
              </w:rPr>
              <w:t>)(</w:t>
            </w:r>
            <w:proofErr w:type="gramEnd"/>
            <w:r w:rsidR="00A81EE8">
              <w:rPr>
                <w:rStyle w:val="normaltextrun"/>
                <w:color w:val="000000"/>
                <w:szCs w:val="22"/>
                <w:shd w:val="clear" w:color="auto" w:fill="FFFFFF"/>
              </w:rPr>
              <w:t>1–2). To ensure continued compliance, the NMRE will incorporate the Provider Directory API into its consolidated Patient Access and Provider Directory API Policy and Procedure (developed under Standard XII #6).</w:t>
            </w:r>
          </w:p>
        </w:tc>
      </w:tr>
      <w:tr w:rsidR="00333E2B" w:rsidRPr="00FC2C0F" w14:paraId="2B38C3CF" w14:textId="77777777" w:rsidTr="00591030">
        <w:tblPrEx>
          <w:tblCellMar>
            <w:left w:w="108" w:type="dxa"/>
            <w:right w:w="108" w:type="dxa"/>
          </w:tblCellMar>
        </w:tblPrEx>
        <w:trPr>
          <w:trHeight w:val="374"/>
          <w:jc w:val="center"/>
        </w:trPr>
        <w:tc>
          <w:tcPr>
            <w:tcW w:w="14011" w:type="dxa"/>
            <w:gridSpan w:val="4"/>
            <w:tcBorders>
              <w:top w:val="single" w:sz="4" w:space="0" w:color="000000"/>
              <w:bottom w:val="single" w:sz="4" w:space="0" w:color="000000" w:themeColor="text1"/>
            </w:tcBorders>
          </w:tcPr>
          <w:p w14:paraId="344DE436" w14:textId="0E615312" w:rsidR="00333E2B" w:rsidRPr="00FC2C0F" w:rsidRDefault="00333E2B" w:rsidP="00333E2B">
            <w:pPr>
              <w:pStyle w:val="HSAGTableText"/>
              <w:contextualSpacing/>
              <w:rPr>
                <w:bCs/>
              </w:rPr>
            </w:pPr>
            <w:r w:rsidRPr="00B30934">
              <w:rPr>
                <w:b/>
              </w:rPr>
              <w:t>Responsible Individual(s):</w:t>
            </w:r>
            <w:r>
              <w:rPr>
                <w:bCs/>
              </w:rPr>
              <w:t xml:space="preserve"> </w:t>
            </w:r>
            <w:r w:rsidR="00A81EE8">
              <w:rPr>
                <w:rStyle w:val="normaltextrun"/>
                <w:color w:val="000000"/>
                <w:szCs w:val="22"/>
                <w:bdr w:val="none" w:sz="0" w:space="0" w:color="auto" w:frame="1"/>
              </w:rPr>
              <w:t>Brandon Rhue, Chief Information Officer (CIO)</w:t>
            </w:r>
          </w:p>
        </w:tc>
      </w:tr>
      <w:tr w:rsidR="00333E2B" w:rsidRPr="00FC2C0F" w14:paraId="506CDD24" w14:textId="77777777" w:rsidTr="00591030">
        <w:tblPrEx>
          <w:tblCellMar>
            <w:left w:w="108" w:type="dxa"/>
            <w:right w:w="108" w:type="dxa"/>
          </w:tblCellMar>
        </w:tblPrEx>
        <w:trPr>
          <w:trHeight w:val="374"/>
          <w:jc w:val="center"/>
        </w:trPr>
        <w:tc>
          <w:tcPr>
            <w:tcW w:w="14011" w:type="dxa"/>
            <w:gridSpan w:val="4"/>
            <w:tcBorders>
              <w:top w:val="single" w:sz="4" w:space="0" w:color="000000"/>
              <w:bottom w:val="single" w:sz="4" w:space="0" w:color="auto"/>
            </w:tcBorders>
          </w:tcPr>
          <w:p w14:paraId="3BBCAE06" w14:textId="40D883D1" w:rsidR="00333E2B" w:rsidRPr="00FC2C0F" w:rsidRDefault="00333E2B" w:rsidP="00333E2B">
            <w:pPr>
              <w:pStyle w:val="HSAGTableText"/>
              <w:contextualSpacing/>
              <w:rPr>
                <w:bCs/>
              </w:rPr>
            </w:pPr>
            <w:r w:rsidRPr="00B30934">
              <w:rPr>
                <w:b/>
              </w:rPr>
              <w:t>Timeline:</w:t>
            </w:r>
            <w:r>
              <w:rPr>
                <w:bCs/>
              </w:rPr>
              <w:t xml:space="preserve"> </w:t>
            </w:r>
            <w:r w:rsidR="00A81EE8">
              <w:rPr>
                <w:rStyle w:val="normaltextrun"/>
                <w:color w:val="000000"/>
                <w:szCs w:val="22"/>
                <w:shd w:val="clear" w:color="auto" w:fill="FFFFFF"/>
              </w:rPr>
              <w:t>Compliance with current data element requirements has already been achieved. Through development and implementation of our new policy and procedure, we will ensure compliance with upcoming and changed requirements moving forward.</w:t>
            </w:r>
          </w:p>
        </w:tc>
      </w:tr>
      <w:tr w:rsidR="00333E2B" w14:paraId="5CF50896" w14:textId="77777777" w:rsidTr="00591030">
        <w:tblPrEx>
          <w:tblCellMar>
            <w:left w:w="108" w:type="dxa"/>
            <w:right w:w="108" w:type="dxa"/>
          </w:tblCellMar>
        </w:tblPrEx>
        <w:trPr>
          <w:trHeight w:val="374"/>
          <w:jc w:val="center"/>
        </w:trPr>
        <w:tc>
          <w:tcPr>
            <w:tcW w:w="10435" w:type="dxa"/>
            <w:gridSpan w:val="2"/>
            <w:tcBorders>
              <w:top w:val="single" w:sz="4" w:space="0" w:color="auto"/>
              <w:bottom w:val="single" w:sz="4" w:space="0" w:color="auto"/>
            </w:tcBorders>
            <w:shd w:val="clear" w:color="auto" w:fill="F2F2F2" w:themeFill="background1" w:themeFillShade="F2"/>
          </w:tcPr>
          <w:p w14:paraId="7B6C9A6C" w14:textId="1E4C2738" w:rsidR="00333E2B" w:rsidRPr="00FC2C0F" w:rsidRDefault="00333E2B" w:rsidP="00333E2B">
            <w:pPr>
              <w:pStyle w:val="HSAGTableText"/>
              <w:contextualSpacing/>
              <w:rPr>
                <w:bCs/>
              </w:rPr>
            </w:pPr>
            <w:r>
              <w:rPr>
                <w:b/>
              </w:rPr>
              <w:t>MDHHS/HSAG Response:</w:t>
            </w:r>
            <w:r>
              <w:rPr>
                <w:bCs/>
              </w:rPr>
              <w:t xml:space="preserve"> </w:t>
            </w:r>
            <w:r w:rsidR="00EB33E6">
              <w:rPr>
                <w:bCs/>
              </w:rPr>
              <w:t xml:space="preserve">The PIHP’s remediation plan is sufficient to ensure compliance with the requirements for this program area. While no additional information is required to be submitted at this time, the PIHP must proceed with </w:t>
            </w:r>
            <w:proofErr w:type="gramStart"/>
            <w:r w:rsidR="00EB33E6">
              <w:rPr>
                <w:bCs/>
              </w:rPr>
              <w:t>timely</w:t>
            </w:r>
            <w:proofErr w:type="gramEnd"/>
            <w:r w:rsidR="00EB33E6">
              <w:rPr>
                <w:bCs/>
              </w:rPr>
              <w:t xml:space="preserve"> implementation of its action plans. Please note, an </w:t>
            </w:r>
            <w:r w:rsidR="00EB33E6">
              <w:rPr>
                <w:bCs/>
                <w:i/>
                <w:iCs/>
              </w:rPr>
              <w:t>Accepted</w:t>
            </w:r>
            <w:r w:rsidR="00EB33E6">
              <w:rPr>
                <w:bCs/>
              </w:rPr>
              <w:t xml:space="preserve"> designation is not a guarantee of </w:t>
            </w:r>
            <w:r w:rsidR="00EB33E6">
              <w:rPr>
                <w:bCs/>
              </w:rPr>
              <w:lastRenderedPageBreak/>
              <w:t>future compliance. Implementation of the PIHP’s action plans and demonstration of compliance will be assessed during future compliance review activities.</w:t>
            </w:r>
          </w:p>
        </w:tc>
        <w:tc>
          <w:tcPr>
            <w:tcW w:w="3576" w:type="dxa"/>
            <w:gridSpan w:val="2"/>
            <w:tcBorders>
              <w:top w:val="single" w:sz="4" w:space="0" w:color="auto"/>
              <w:bottom w:val="single" w:sz="4" w:space="0" w:color="auto"/>
            </w:tcBorders>
            <w:shd w:val="clear" w:color="auto" w:fill="F2F2F2" w:themeFill="background1" w:themeFillShade="F2"/>
          </w:tcPr>
          <w:p w14:paraId="106D141A" w14:textId="1290F64C" w:rsidR="00333E2B" w:rsidRPr="00C123EE" w:rsidRDefault="00000000" w:rsidP="00333E2B">
            <w:pPr>
              <w:pStyle w:val="HSAGTableText"/>
              <w:contextualSpacing/>
              <w:rPr>
                <w:bCs/>
              </w:rPr>
            </w:pPr>
            <w:sdt>
              <w:sdtPr>
                <w:rPr>
                  <w:bCs/>
                </w:rPr>
                <w:id w:val="819383072"/>
                <w14:checkbox>
                  <w14:checked w14:val="1"/>
                  <w14:checkedState w14:val="2612" w14:font="MS Gothic"/>
                  <w14:uncheckedState w14:val="2610" w14:font="MS Gothic"/>
                </w14:checkbox>
              </w:sdtPr>
              <w:sdtContent>
                <w:r w:rsidR="00EB33E6">
                  <w:rPr>
                    <w:rFonts w:ascii="MS Gothic" w:eastAsia="MS Gothic" w:hAnsi="MS Gothic" w:hint="eastAsia"/>
                    <w:bCs/>
                  </w:rPr>
                  <w:t>☒</w:t>
                </w:r>
              </w:sdtContent>
            </w:sdt>
            <w:r w:rsidR="00333E2B" w:rsidRPr="00C123EE">
              <w:rPr>
                <w:bCs/>
              </w:rPr>
              <w:t xml:space="preserve"> Accepted</w:t>
            </w:r>
          </w:p>
          <w:p w14:paraId="43A8EE74" w14:textId="77777777" w:rsidR="00333E2B" w:rsidRPr="00C123EE" w:rsidRDefault="00000000" w:rsidP="00333E2B">
            <w:pPr>
              <w:pStyle w:val="HSAGTableText"/>
              <w:contextualSpacing/>
              <w:rPr>
                <w:bCs/>
              </w:rPr>
            </w:pPr>
            <w:sdt>
              <w:sdtPr>
                <w:rPr>
                  <w:bCs/>
                </w:rPr>
                <w:id w:val="-62801260"/>
                <w14:checkbox>
                  <w14:checked w14:val="0"/>
                  <w14:checkedState w14:val="2612" w14:font="MS Gothic"/>
                  <w14:uncheckedState w14:val="2610" w14:font="MS Gothic"/>
                </w14:checkbox>
              </w:sdtPr>
              <w:sdtContent>
                <w:r w:rsidR="00333E2B" w:rsidRPr="00C123EE">
                  <w:rPr>
                    <w:rFonts w:ascii="MS Gothic" w:eastAsia="MS Gothic" w:hAnsi="MS Gothic" w:hint="eastAsia"/>
                    <w:bCs/>
                  </w:rPr>
                  <w:t>☐</w:t>
                </w:r>
              </w:sdtContent>
            </w:sdt>
            <w:r w:rsidR="00333E2B" w:rsidRPr="00C123EE">
              <w:rPr>
                <w:bCs/>
              </w:rPr>
              <w:t xml:space="preserve"> Accepted </w:t>
            </w:r>
            <w:r w:rsidR="00333E2B">
              <w:rPr>
                <w:bCs/>
              </w:rPr>
              <w:t>W</w:t>
            </w:r>
            <w:r w:rsidR="00333E2B" w:rsidRPr="00C123EE">
              <w:rPr>
                <w:bCs/>
              </w:rPr>
              <w:t>ith Recommendations</w:t>
            </w:r>
          </w:p>
          <w:p w14:paraId="42D0BD25" w14:textId="77777777" w:rsidR="00333E2B" w:rsidRDefault="00000000" w:rsidP="00333E2B">
            <w:pPr>
              <w:pStyle w:val="HSAGTableText"/>
              <w:contextualSpacing/>
              <w:rPr>
                <w:b/>
              </w:rPr>
            </w:pPr>
            <w:sdt>
              <w:sdtPr>
                <w:rPr>
                  <w:bCs/>
                </w:rPr>
                <w:id w:val="399411678"/>
                <w14:checkbox>
                  <w14:checked w14:val="0"/>
                  <w14:checkedState w14:val="2612" w14:font="MS Gothic"/>
                  <w14:uncheckedState w14:val="2610" w14:font="MS Gothic"/>
                </w14:checkbox>
              </w:sdtPr>
              <w:sdtContent>
                <w:r w:rsidR="00333E2B" w:rsidRPr="00C123EE">
                  <w:rPr>
                    <w:rFonts w:ascii="MS Gothic" w:eastAsia="MS Gothic" w:hAnsi="MS Gothic" w:hint="eastAsia"/>
                    <w:bCs/>
                  </w:rPr>
                  <w:t>☐</w:t>
                </w:r>
              </w:sdtContent>
            </w:sdt>
            <w:r w:rsidR="00333E2B" w:rsidRPr="00C123EE">
              <w:rPr>
                <w:bCs/>
              </w:rPr>
              <w:t xml:space="preserve"> Not Accepted</w:t>
            </w:r>
          </w:p>
        </w:tc>
      </w:tr>
    </w:tbl>
    <w:p w14:paraId="3F573BA8" w14:textId="77777777" w:rsidR="000D2CBB" w:rsidRPr="0065503C" w:rsidRDefault="000D2CBB" w:rsidP="000D2CBB"/>
    <w:p w14:paraId="7E7C2DE4" w14:textId="1DEC5DD4" w:rsidR="00511FB6" w:rsidRDefault="00511FB6">
      <w:pPr>
        <w:spacing w:before="0" w:after="200" w:line="276" w:lineRule="auto"/>
      </w:pPr>
      <w:r>
        <w:br w:type="page"/>
      </w:r>
    </w:p>
    <w:p w14:paraId="30BDD357" w14:textId="511824BB" w:rsidR="00511FB6" w:rsidRPr="00916120" w:rsidRDefault="00716FA5" w:rsidP="00511FB6">
      <w:pPr>
        <w:pStyle w:val="Heading2"/>
        <w:pageBreakBefore/>
        <w:rPr>
          <w:sz w:val="28"/>
        </w:rPr>
      </w:pPr>
      <w:r w:rsidRPr="001408D5">
        <w:rPr>
          <w:sz w:val="28"/>
        </w:rPr>
        <w:lastRenderedPageBreak/>
        <w:t>Standard XIII—Quality Assessment and Performance Improvement Program</w:t>
      </w:r>
    </w:p>
    <w:tbl>
      <w:tblPr>
        <w:tblW w:w="14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475"/>
        <w:gridCol w:w="3960"/>
        <w:gridCol w:w="2160"/>
        <w:gridCol w:w="1416"/>
      </w:tblGrid>
      <w:tr w:rsidR="00511FB6" w:rsidRPr="00903F99" w14:paraId="1F5CE7DE" w14:textId="77777777" w:rsidTr="00591030">
        <w:trPr>
          <w:trHeight w:val="374"/>
          <w:tblHeader/>
          <w:jc w:val="center"/>
        </w:trPr>
        <w:tc>
          <w:tcPr>
            <w:tcW w:w="14011" w:type="dxa"/>
            <w:gridSpan w:val="4"/>
            <w:shd w:val="clear" w:color="auto" w:fill="00549E"/>
            <w:vAlign w:val="center"/>
            <w:hideMark/>
          </w:tcPr>
          <w:p w14:paraId="7D61789C" w14:textId="1A6F8933" w:rsidR="00511FB6" w:rsidRPr="00903F99" w:rsidRDefault="00716FA5" w:rsidP="00591030">
            <w:pPr>
              <w:pStyle w:val="HSAGTableHeading"/>
              <w:spacing w:before="0" w:after="0"/>
              <w:contextualSpacing/>
            </w:pPr>
            <w:r w:rsidRPr="001408D5">
              <w:t>Standard XIII—Quality Assessment and Performance Improvement Program</w:t>
            </w:r>
          </w:p>
        </w:tc>
      </w:tr>
      <w:tr w:rsidR="00511FB6" w:rsidRPr="0026679F" w14:paraId="4EBEA4CF" w14:textId="77777777" w:rsidTr="00591030">
        <w:trPr>
          <w:trHeight w:val="374"/>
          <w:tblHeader/>
          <w:jc w:val="center"/>
        </w:trPr>
        <w:tc>
          <w:tcPr>
            <w:tcW w:w="6475" w:type="dxa"/>
            <w:shd w:val="clear" w:color="auto" w:fill="DFECF7"/>
            <w:vAlign w:val="center"/>
            <w:hideMark/>
          </w:tcPr>
          <w:p w14:paraId="4A37F867" w14:textId="77777777" w:rsidR="00511FB6" w:rsidRPr="0026679F" w:rsidRDefault="00511FB6" w:rsidP="00591030">
            <w:pPr>
              <w:pStyle w:val="HSAGTableHeading"/>
              <w:rPr>
                <w:color w:val="auto"/>
              </w:rPr>
            </w:pPr>
            <w:r w:rsidRPr="0026679F">
              <w:rPr>
                <w:color w:val="auto"/>
              </w:rPr>
              <w:t>Requirement</w:t>
            </w:r>
          </w:p>
        </w:tc>
        <w:tc>
          <w:tcPr>
            <w:tcW w:w="6120" w:type="dxa"/>
            <w:gridSpan w:val="2"/>
            <w:shd w:val="clear" w:color="auto" w:fill="DFECF7"/>
            <w:vAlign w:val="center"/>
            <w:hideMark/>
          </w:tcPr>
          <w:p w14:paraId="60416F91" w14:textId="77777777" w:rsidR="00511FB6" w:rsidRPr="0026679F" w:rsidRDefault="00511FB6" w:rsidP="00591030">
            <w:pPr>
              <w:pStyle w:val="HSAGTableHeading"/>
              <w:rPr>
                <w:color w:val="auto"/>
              </w:rPr>
            </w:pPr>
            <w:r w:rsidRPr="0026679F">
              <w:rPr>
                <w:color w:val="auto"/>
              </w:rPr>
              <w:t>Supporting Documentation</w:t>
            </w:r>
          </w:p>
        </w:tc>
        <w:tc>
          <w:tcPr>
            <w:tcW w:w="1416" w:type="dxa"/>
            <w:shd w:val="clear" w:color="auto" w:fill="DFECF7"/>
            <w:vAlign w:val="center"/>
            <w:hideMark/>
          </w:tcPr>
          <w:p w14:paraId="4961F9F2" w14:textId="77777777" w:rsidR="00511FB6" w:rsidRPr="0026679F" w:rsidRDefault="00511FB6" w:rsidP="00591030">
            <w:pPr>
              <w:pStyle w:val="HSAGTableHeading"/>
              <w:rPr>
                <w:color w:val="auto"/>
              </w:rPr>
            </w:pPr>
            <w:r w:rsidRPr="0026679F">
              <w:rPr>
                <w:color w:val="auto"/>
              </w:rPr>
              <w:t>Score</w:t>
            </w:r>
          </w:p>
        </w:tc>
      </w:tr>
      <w:tr w:rsidR="00716FA5" w:rsidRPr="00903F99" w14:paraId="25009C32" w14:textId="77777777" w:rsidTr="00591030">
        <w:trPr>
          <w:trHeight w:val="374"/>
          <w:jc w:val="center"/>
        </w:trPr>
        <w:tc>
          <w:tcPr>
            <w:tcW w:w="6475" w:type="dxa"/>
            <w:vMerge w:val="restart"/>
          </w:tcPr>
          <w:p w14:paraId="6CA0B8C1" w14:textId="77777777" w:rsidR="00716FA5" w:rsidRPr="001408D5" w:rsidRDefault="00716FA5" w:rsidP="00716FA5">
            <w:pPr>
              <w:pStyle w:val="ListNoNum"/>
              <w:rPr>
                <w:rFonts w:eastAsiaTheme="minorHAnsi"/>
                <w:i/>
                <w:iCs/>
                <w:color w:val="000000" w:themeColor="text1"/>
                <w:szCs w:val="22"/>
              </w:rPr>
            </w:pPr>
            <w:r w:rsidRPr="001408D5">
              <w:rPr>
                <w:spacing w:val="-4"/>
              </w:rPr>
              <w:t>15.</w:t>
            </w:r>
            <w:r w:rsidRPr="001408D5">
              <w:rPr>
                <w:spacing w:val="-4"/>
              </w:rPr>
              <w:tab/>
            </w:r>
            <w:r w:rsidRPr="001408D5">
              <w:rPr>
                <w:rFonts w:eastAsiaTheme="minorHAnsi"/>
                <w:i/>
                <w:iCs/>
                <w:color w:val="000000" w:themeColor="text1"/>
                <w:szCs w:val="22"/>
              </w:rPr>
              <w:t xml:space="preserve">At a minimum, sentinel events as defined in the MDHHS contract are reviewed and acted upon as appropriate. </w:t>
            </w:r>
          </w:p>
          <w:p w14:paraId="6CDCA555" w14:textId="77777777" w:rsidR="00716FA5" w:rsidRPr="001408D5" w:rsidRDefault="00716FA5" w:rsidP="00716FA5">
            <w:pPr>
              <w:pStyle w:val="ListNoNum2"/>
              <w:rPr>
                <w:rFonts w:eastAsiaTheme="minorHAnsi"/>
                <w:i/>
                <w:iCs/>
                <w:color w:val="000000" w:themeColor="text1"/>
              </w:rPr>
            </w:pPr>
            <w:r w:rsidRPr="001408D5">
              <w:t xml:space="preserve">a. </w:t>
            </w:r>
            <w:r w:rsidRPr="001408D5">
              <w:tab/>
            </w:r>
            <w:r w:rsidRPr="001408D5">
              <w:rPr>
                <w:rFonts w:eastAsiaTheme="minorHAnsi"/>
                <w:i/>
                <w:iCs/>
                <w:color w:val="000000" w:themeColor="text1"/>
              </w:rPr>
              <w:t xml:space="preserve">The PIHP or its delegate has three business days after a critical incident occurred to determine if it is a sentinel event. </w:t>
            </w:r>
          </w:p>
          <w:p w14:paraId="67BF8E9C" w14:textId="77777777" w:rsidR="00716FA5" w:rsidRPr="001408D5" w:rsidRDefault="00716FA5" w:rsidP="00716FA5">
            <w:pPr>
              <w:pStyle w:val="ListNoNum2"/>
              <w:rPr>
                <w:rFonts w:eastAsiaTheme="minorHAnsi"/>
                <w:i/>
                <w:iCs/>
                <w:color w:val="000000" w:themeColor="text1"/>
              </w:rPr>
            </w:pPr>
            <w:r w:rsidRPr="001408D5">
              <w:t>b</w:t>
            </w:r>
            <w:proofErr w:type="gramStart"/>
            <w:r w:rsidRPr="001408D5">
              <w:t xml:space="preserve">. </w:t>
            </w:r>
            <w:r w:rsidRPr="001408D5">
              <w:tab/>
            </w:r>
            <w:r w:rsidRPr="001408D5">
              <w:rPr>
                <w:rFonts w:eastAsiaTheme="minorHAnsi"/>
                <w:i/>
                <w:iCs/>
                <w:color w:val="000000" w:themeColor="text1"/>
              </w:rPr>
              <w:t>If</w:t>
            </w:r>
            <w:proofErr w:type="gramEnd"/>
            <w:r w:rsidRPr="001408D5">
              <w:rPr>
                <w:rFonts w:eastAsiaTheme="minorHAnsi"/>
                <w:i/>
                <w:iCs/>
                <w:color w:val="000000" w:themeColor="text1"/>
              </w:rPr>
              <w:t xml:space="preserve"> the critical incident is classified as a sentinel event, the PIHP or its delegate has two subsequent business days to commence a root cause analysis of the event.</w:t>
            </w:r>
          </w:p>
          <w:p w14:paraId="3ACEE3B1" w14:textId="77777777" w:rsidR="00716FA5" w:rsidRPr="001408D5" w:rsidRDefault="00716FA5" w:rsidP="00716FA5">
            <w:pPr>
              <w:pStyle w:val="ListParagraph"/>
              <w:spacing w:after="60"/>
              <w:rPr>
                <w:color w:val="000000" w:themeColor="text1"/>
              </w:rPr>
            </w:pPr>
          </w:p>
          <w:p w14:paraId="2E01E228" w14:textId="77777777" w:rsidR="00716FA5" w:rsidRPr="001408D5" w:rsidRDefault="00716FA5" w:rsidP="00716FA5">
            <w:pPr>
              <w:pStyle w:val="HSAGTableContracttext"/>
            </w:pPr>
            <w:r w:rsidRPr="001408D5">
              <w:t xml:space="preserve">Contract Schedule A—1(L)(2)(a) </w:t>
            </w:r>
          </w:p>
          <w:p w14:paraId="194DDEBE" w14:textId="77777777" w:rsidR="00716FA5" w:rsidRPr="001408D5" w:rsidRDefault="00716FA5" w:rsidP="00716FA5">
            <w:pPr>
              <w:pStyle w:val="HSAGTableContracttext"/>
            </w:pPr>
            <w:r w:rsidRPr="001408D5">
              <w:t xml:space="preserve">Contract Schedule A—1(O)(12) </w:t>
            </w:r>
          </w:p>
          <w:p w14:paraId="02C5889F" w14:textId="5B66DA11" w:rsidR="00716FA5" w:rsidRPr="00903F99" w:rsidRDefault="00716FA5" w:rsidP="00716FA5">
            <w:pPr>
              <w:pStyle w:val="HSAGTableContracttext"/>
              <w:keepNext/>
              <w:spacing w:before="0" w:after="0"/>
              <w:ind w:left="1440"/>
              <w:contextualSpacing/>
              <w:rPr>
                <w:i/>
                <w:szCs w:val="18"/>
              </w:rPr>
            </w:pPr>
            <w:r w:rsidRPr="001408D5">
              <w:t>QAPIPs for Specialty PIHPs—VIII(A)</w:t>
            </w:r>
          </w:p>
        </w:tc>
        <w:tc>
          <w:tcPr>
            <w:tcW w:w="6120" w:type="dxa"/>
            <w:gridSpan w:val="2"/>
            <w:shd w:val="clear" w:color="auto" w:fill="FFFFFF" w:themeFill="background1"/>
          </w:tcPr>
          <w:p w14:paraId="13C89D1D" w14:textId="77777777" w:rsidR="00716FA5" w:rsidRPr="001408D5" w:rsidRDefault="00716FA5" w:rsidP="00716FA5">
            <w:pPr>
              <w:pStyle w:val="HSAGTableText"/>
              <w:contextualSpacing/>
              <w:rPr>
                <w:b/>
                <w:bCs/>
              </w:rPr>
            </w:pPr>
            <w:r w:rsidRPr="001408D5">
              <w:rPr>
                <w:b/>
                <w:bCs/>
              </w:rPr>
              <w:t>HSAG Required Evidence:</w:t>
            </w:r>
          </w:p>
          <w:p w14:paraId="12401A55" w14:textId="77777777" w:rsidR="00716FA5" w:rsidRPr="001408D5" w:rsidRDefault="00716FA5" w:rsidP="00595A8D">
            <w:pPr>
              <w:pStyle w:val="HSAGTableText"/>
              <w:numPr>
                <w:ilvl w:val="0"/>
                <w:numId w:val="19"/>
              </w:numPr>
              <w:contextualSpacing/>
            </w:pPr>
            <w:r w:rsidRPr="001408D5">
              <w:t>Policies, procedures, and workflows</w:t>
            </w:r>
          </w:p>
          <w:p w14:paraId="403EFC94" w14:textId="77777777" w:rsidR="00716FA5" w:rsidRPr="001408D5" w:rsidRDefault="00716FA5" w:rsidP="00595A8D">
            <w:pPr>
              <w:pStyle w:val="HSAGTableText"/>
              <w:numPr>
                <w:ilvl w:val="0"/>
                <w:numId w:val="19"/>
              </w:numPr>
              <w:contextualSpacing/>
            </w:pPr>
            <w:r w:rsidRPr="001408D5">
              <w:t>QAPI program description</w:t>
            </w:r>
          </w:p>
          <w:p w14:paraId="19B429FD" w14:textId="77777777" w:rsidR="00716FA5" w:rsidRDefault="00716FA5" w:rsidP="00595A8D">
            <w:pPr>
              <w:pStyle w:val="HSAGTableText"/>
              <w:numPr>
                <w:ilvl w:val="0"/>
                <w:numId w:val="19"/>
              </w:numPr>
              <w:contextualSpacing/>
            </w:pPr>
            <w:r w:rsidRPr="001408D5">
              <w:t xml:space="preserve">Tracking and reporting mechanisms </w:t>
            </w:r>
          </w:p>
          <w:p w14:paraId="6F16F30E" w14:textId="38A12924" w:rsidR="00716FA5" w:rsidRPr="00903F99" w:rsidRDefault="00716FA5" w:rsidP="00595A8D">
            <w:pPr>
              <w:pStyle w:val="HSAGTableText"/>
              <w:numPr>
                <w:ilvl w:val="0"/>
                <w:numId w:val="19"/>
              </w:numPr>
              <w:contextualSpacing/>
            </w:pPr>
            <w:r w:rsidRPr="001408D5">
              <w:t>Three examples of the review of critical incidents/sentinel events (date of incident, date incident determined to be a root cause event, and date root cause analysis completed must be provided)</w:t>
            </w:r>
          </w:p>
        </w:tc>
        <w:tc>
          <w:tcPr>
            <w:tcW w:w="1416" w:type="dxa"/>
            <w:vMerge w:val="restart"/>
            <w:shd w:val="clear" w:color="auto" w:fill="FFFFFF" w:themeFill="background1"/>
          </w:tcPr>
          <w:p w14:paraId="0F956659" w14:textId="77777777" w:rsidR="00716FA5" w:rsidRPr="001408D5" w:rsidRDefault="00000000" w:rsidP="00716FA5">
            <w:pPr>
              <w:spacing w:before="60" w:after="0"/>
              <w:contextualSpacing/>
              <w:rPr>
                <w:sz w:val="22"/>
              </w:rPr>
            </w:pPr>
            <w:sdt>
              <w:sdtPr>
                <w:rPr>
                  <w:sz w:val="22"/>
                </w:rPr>
                <w:id w:val="1887751630"/>
                <w14:checkbox>
                  <w14:checked w14:val="0"/>
                  <w14:checkedState w14:val="2612" w14:font="MS Gothic"/>
                  <w14:uncheckedState w14:val="2610" w14:font="MS Gothic"/>
                </w14:checkbox>
              </w:sdtPr>
              <w:sdtContent>
                <w:r w:rsidR="00716FA5" w:rsidRPr="001408D5">
                  <w:rPr>
                    <w:rFonts w:ascii="MS Gothic" w:eastAsia="MS Gothic" w:hAnsi="MS Gothic" w:hint="eastAsia"/>
                    <w:sz w:val="22"/>
                  </w:rPr>
                  <w:t>☐</w:t>
                </w:r>
              </w:sdtContent>
            </w:sdt>
            <w:r w:rsidR="00716FA5" w:rsidRPr="001408D5">
              <w:rPr>
                <w:sz w:val="22"/>
              </w:rPr>
              <w:t xml:space="preserve"> Met</w:t>
            </w:r>
          </w:p>
          <w:p w14:paraId="71842B23" w14:textId="77777777" w:rsidR="00716FA5" w:rsidRPr="001408D5" w:rsidRDefault="00000000" w:rsidP="00716FA5">
            <w:pPr>
              <w:spacing w:before="60" w:after="0"/>
              <w:contextualSpacing/>
              <w:rPr>
                <w:sz w:val="22"/>
              </w:rPr>
            </w:pPr>
            <w:sdt>
              <w:sdtPr>
                <w:rPr>
                  <w:sz w:val="22"/>
                </w:rPr>
                <w:id w:val="-929272665"/>
                <w14:checkbox>
                  <w14:checked w14:val="1"/>
                  <w14:checkedState w14:val="2612" w14:font="MS Gothic"/>
                  <w14:uncheckedState w14:val="2610" w14:font="MS Gothic"/>
                </w14:checkbox>
              </w:sdtPr>
              <w:sdtContent>
                <w:r w:rsidR="00716FA5" w:rsidRPr="001408D5">
                  <w:rPr>
                    <w:rFonts w:ascii="MS Gothic" w:eastAsia="MS Gothic" w:hAnsi="MS Gothic" w:hint="eastAsia"/>
                    <w:sz w:val="22"/>
                  </w:rPr>
                  <w:t>☒</w:t>
                </w:r>
              </w:sdtContent>
            </w:sdt>
            <w:r w:rsidR="00716FA5" w:rsidRPr="001408D5">
              <w:rPr>
                <w:sz w:val="22"/>
              </w:rPr>
              <w:t xml:space="preserve"> Not Met</w:t>
            </w:r>
          </w:p>
          <w:p w14:paraId="7677D081" w14:textId="77777777" w:rsidR="00716FA5" w:rsidRPr="001408D5" w:rsidRDefault="00000000" w:rsidP="00716FA5">
            <w:pPr>
              <w:spacing w:before="60" w:after="0"/>
              <w:contextualSpacing/>
              <w:rPr>
                <w:sz w:val="22"/>
              </w:rPr>
            </w:pPr>
            <w:sdt>
              <w:sdtPr>
                <w:rPr>
                  <w:sz w:val="22"/>
                </w:rPr>
                <w:id w:val="-1971508468"/>
                <w14:checkbox>
                  <w14:checked w14:val="0"/>
                  <w14:checkedState w14:val="2612" w14:font="MS Gothic"/>
                  <w14:uncheckedState w14:val="2610" w14:font="MS Gothic"/>
                </w14:checkbox>
              </w:sdtPr>
              <w:sdtContent>
                <w:r w:rsidR="00716FA5" w:rsidRPr="001408D5">
                  <w:rPr>
                    <w:rFonts w:ascii="MS Gothic" w:eastAsia="MS Gothic" w:hAnsi="MS Gothic" w:hint="eastAsia"/>
                    <w:sz w:val="22"/>
                  </w:rPr>
                  <w:t>☐</w:t>
                </w:r>
              </w:sdtContent>
            </w:sdt>
            <w:r w:rsidR="00716FA5" w:rsidRPr="001408D5">
              <w:rPr>
                <w:sz w:val="22"/>
              </w:rPr>
              <w:t xml:space="preserve"> NA</w:t>
            </w:r>
          </w:p>
          <w:p w14:paraId="5E77623D" w14:textId="77777777" w:rsidR="00716FA5" w:rsidRPr="00903F99" w:rsidRDefault="00716FA5" w:rsidP="00716FA5">
            <w:pPr>
              <w:spacing w:before="0" w:after="0"/>
              <w:contextualSpacing/>
              <w:rPr>
                <w:sz w:val="22"/>
              </w:rPr>
            </w:pPr>
          </w:p>
        </w:tc>
      </w:tr>
      <w:tr w:rsidR="00716FA5" w:rsidRPr="00903F99" w14:paraId="0627835E" w14:textId="77777777" w:rsidTr="00591030">
        <w:trPr>
          <w:trHeight w:val="374"/>
          <w:jc w:val="center"/>
        </w:trPr>
        <w:tc>
          <w:tcPr>
            <w:tcW w:w="6475" w:type="dxa"/>
            <w:vMerge/>
          </w:tcPr>
          <w:p w14:paraId="2375026F" w14:textId="77777777" w:rsidR="00716FA5" w:rsidRPr="00903F99" w:rsidRDefault="00716FA5" w:rsidP="00595A8D">
            <w:pPr>
              <w:pStyle w:val="HSAGNumbers"/>
              <w:numPr>
                <w:ilvl w:val="0"/>
                <w:numId w:val="16"/>
              </w:numPr>
              <w:spacing w:before="0" w:after="0"/>
              <w:contextualSpacing/>
            </w:pPr>
          </w:p>
        </w:tc>
        <w:tc>
          <w:tcPr>
            <w:tcW w:w="6120" w:type="dxa"/>
            <w:gridSpan w:val="2"/>
            <w:shd w:val="clear" w:color="auto" w:fill="FFFFFF" w:themeFill="background1"/>
          </w:tcPr>
          <w:p w14:paraId="6D86C931" w14:textId="77777777" w:rsidR="00716FA5" w:rsidRPr="001408D5" w:rsidRDefault="00716FA5" w:rsidP="00716FA5">
            <w:pPr>
              <w:pStyle w:val="HSAGTableText"/>
              <w:contextualSpacing/>
              <w:rPr>
                <w:b/>
                <w:bCs/>
              </w:rPr>
            </w:pPr>
            <w:r w:rsidRPr="001408D5">
              <w:rPr>
                <w:b/>
                <w:bCs/>
              </w:rPr>
              <w:t>Evidence as Submitted by the PIHP:</w:t>
            </w:r>
          </w:p>
          <w:p w14:paraId="66E13F08" w14:textId="77777777" w:rsidR="00716FA5" w:rsidRPr="001408D5" w:rsidRDefault="00716FA5" w:rsidP="00595A8D">
            <w:pPr>
              <w:pStyle w:val="HSAGTableText"/>
              <w:numPr>
                <w:ilvl w:val="0"/>
                <w:numId w:val="19"/>
              </w:numPr>
              <w:contextualSpacing/>
            </w:pPr>
            <w:r w:rsidRPr="001408D5">
              <w:t>SXIII_E14-E20_pg2,3,5,9,15,20,27</w:t>
            </w:r>
          </w:p>
          <w:p w14:paraId="6A3BF4D7" w14:textId="77777777" w:rsidR="00716FA5" w:rsidRPr="001408D5" w:rsidRDefault="00716FA5" w:rsidP="00595A8D">
            <w:pPr>
              <w:pStyle w:val="HSAGTableText"/>
              <w:numPr>
                <w:ilvl w:val="0"/>
                <w:numId w:val="19"/>
              </w:numPr>
              <w:contextualSpacing/>
            </w:pPr>
            <w:r w:rsidRPr="001408D5">
              <w:t>SXIII_E14-21_CISE Reporting</w:t>
            </w:r>
          </w:p>
          <w:p w14:paraId="192CBB44" w14:textId="77777777" w:rsidR="00716FA5" w:rsidRPr="001408D5" w:rsidRDefault="00716FA5" w:rsidP="00595A8D">
            <w:pPr>
              <w:pStyle w:val="HSAGTableText"/>
              <w:numPr>
                <w:ilvl w:val="0"/>
                <w:numId w:val="19"/>
              </w:numPr>
              <w:contextualSpacing/>
            </w:pPr>
            <w:r w:rsidRPr="001408D5">
              <w:t>SXIII_E15_ FY2024</w:t>
            </w:r>
          </w:p>
          <w:p w14:paraId="6418ED67" w14:textId="77777777" w:rsidR="00716FA5" w:rsidRPr="001408D5" w:rsidRDefault="00716FA5" w:rsidP="00595A8D">
            <w:pPr>
              <w:pStyle w:val="HSAGTableText"/>
              <w:numPr>
                <w:ilvl w:val="0"/>
                <w:numId w:val="19"/>
              </w:numPr>
              <w:contextualSpacing/>
            </w:pPr>
            <w:r w:rsidRPr="001408D5">
              <w:t>SXIII_E15_ Sentinel Events Process</w:t>
            </w:r>
          </w:p>
          <w:p w14:paraId="2B58701F" w14:textId="77777777" w:rsidR="00716FA5" w:rsidRPr="001408D5" w:rsidRDefault="00716FA5" w:rsidP="00595A8D">
            <w:pPr>
              <w:pStyle w:val="HSAGTableText"/>
              <w:numPr>
                <w:ilvl w:val="0"/>
                <w:numId w:val="19"/>
              </w:numPr>
              <w:contextualSpacing/>
            </w:pPr>
            <w:r w:rsidRPr="001408D5">
              <w:t>SXIII_E15_ WV SE Notification Example 1</w:t>
            </w:r>
          </w:p>
          <w:p w14:paraId="7AD217B8" w14:textId="77777777" w:rsidR="00716FA5" w:rsidRPr="001408D5" w:rsidRDefault="00716FA5" w:rsidP="00595A8D">
            <w:pPr>
              <w:pStyle w:val="HSAGTableText"/>
              <w:numPr>
                <w:ilvl w:val="0"/>
                <w:numId w:val="19"/>
              </w:numPr>
              <w:contextualSpacing/>
            </w:pPr>
            <w:r w:rsidRPr="001408D5">
              <w:t>SXIII_E15_Sentinel Events Initial Report - Example 2</w:t>
            </w:r>
          </w:p>
          <w:p w14:paraId="68E4F277" w14:textId="77777777" w:rsidR="00716FA5" w:rsidRPr="001408D5" w:rsidRDefault="00716FA5" w:rsidP="00595A8D">
            <w:pPr>
              <w:pStyle w:val="HSAGTableText"/>
              <w:numPr>
                <w:ilvl w:val="0"/>
                <w:numId w:val="19"/>
              </w:numPr>
              <w:contextualSpacing/>
            </w:pPr>
            <w:r w:rsidRPr="001408D5">
              <w:t>SXIII_E15_Example 3</w:t>
            </w:r>
          </w:p>
          <w:p w14:paraId="3236AC8D" w14:textId="77777777" w:rsidR="00716FA5" w:rsidRPr="001408D5" w:rsidRDefault="00716FA5" w:rsidP="00595A8D">
            <w:pPr>
              <w:pStyle w:val="HSAGTableText"/>
              <w:numPr>
                <w:ilvl w:val="0"/>
                <w:numId w:val="19"/>
              </w:numPr>
              <w:contextualSpacing/>
            </w:pPr>
            <w:r w:rsidRPr="001408D5">
              <w:t>SXIII_E15_E16_E17_WV Root Cause Analysis Notes Example A</w:t>
            </w:r>
          </w:p>
          <w:p w14:paraId="76867795" w14:textId="77777777" w:rsidR="00716FA5" w:rsidRPr="001408D5" w:rsidRDefault="00716FA5" w:rsidP="00595A8D">
            <w:pPr>
              <w:pStyle w:val="HSAGTableText"/>
              <w:numPr>
                <w:ilvl w:val="0"/>
                <w:numId w:val="19"/>
              </w:numPr>
              <w:contextualSpacing/>
            </w:pPr>
            <w:r w:rsidRPr="001408D5">
              <w:t>SXIII_E15_E16_E17_WV Root Cause Analysis 1-18-24 Example B</w:t>
            </w:r>
          </w:p>
          <w:p w14:paraId="1FA69195" w14:textId="77777777" w:rsidR="00716FA5" w:rsidRPr="001408D5" w:rsidRDefault="00716FA5" w:rsidP="00595A8D">
            <w:pPr>
              <w:pStyle w:val="HSAGTableText"/>
              <w:numPr>
                <w:ilvl w:val="0"/>
                <w:numId w:val="19"/>
              </w:numPr>
              <w:contextualSpacing/>
            </w:pPr>
            <w:r w:rsidRPr="001408D5">
              <w:t>SXIII_E15_E16_pages1,2</w:t>
            </w:r>
          </w:p>
          <w:p w14:paraId="542BBDBF" w14:textId="77777777" w:rsidR="00716FA5" w:rsidRPr="001408D5" w:rsidRDefault="00716FA5" w:rsidP="00595A8D">
            <w:pPr>
              <w:pStyle w:val="HSAGTableText"/>
              <w:numPr>
                <w:ilvl w:val="0"/>
                <w:numId w:val="19"/>
              </w:numPr>
              <w:contextualSpacing/>
            </w:pPr>
            <w:r w:rsidRPr="001408D5">
              <w:t>SXIII_E15_E16_pages2,4,6</w:t>
            </w:r>
          </w:p>
          <w:p w14:paraId="2D1B2034" w14:textId="77777777" w:rsidR="00716FA5" w:rsidRPr="001408D5" w:rsidRDefault="00716FA5" w:rsidP="00595A8D">
            <w:pPr>
              <w:pStyle w:val="HSAGTableText"/>
              <w:numPr>
                <w:ilvl w:val="0"/>
                <w:numId w:val="19"/>
              </w:numPr>
              <w:contextualSpacing/>
              <w:rPr>
                <w:lang w:val="es-MX"/>
              </w:rPr>
            </w:pPr>
            <w:r w:rsidRPr="001408D5">
              <w:rPr>
                <w:lang w:val="es-MX"/>
              </w:rPr>
              <w:t xml:space="preserve">SXIII_E15_E17 WV </w:t>
            </w:r>
            <w:proofErr w:type="spellStart"/>
            <w:r w:rsidRPr="001408D5">
              <w:rPr>
                <w:lang w:val="es-MX"/>
              </w:rPr>
              <w:t>Sentinel</w:t>
            </w:r>
            <w:proofErr w:type="spellEnd"/>
            <w:r w:rsidRPr="001408D5">
              <w:rPr>
                <w:lang w:val="es-MX"/>
              </w:rPr>
              <w:t xml:space="preserve"> </w:t>
            </w:r>
            <w:proofErr w:type="spellStart"/>
            <w:r w:rsidRPr="001408D5">
              <w:rPr>
                <w:lang w:val="es-MX"/>
              </w:rPr>
              <w:t>Event</w:t>
            </w:r>
            <w:proofErr w:type="spellEnd"/>
            <w:r w:rsidRPr="001408D5">
              <w:rPr>
                <w:lang w:val="es-MX"/>
              </w:rPr>
              <w:t xml:space="preserve"> Log</w:t>
            </w:r>
          </w:p>
          <w:p w14:paraId="04AF403D" w14:textId="77777777" w:rsidR="00716FA5" w:rsidRPr="001408D5" w:rsidRDefault="00716FA5" w:rsidP="00595A8D">
            <w:pPr>
              <w:pStyle w:val="HSAGTableText"/>
              <w:numPr>
                <w:ilvl w:val="0"/>
                <w:numId w:val="19"/>
              </w:numPr>
              <w:contextualSpacing/>
              <w:rPr>
                <w:lang w:val="es-MX"/>
              </w:rPr>
            </w:pPr>
            <w:r w:rsidRPr="001408D5">
              <w:rPr>
                <w:lang w:val="es-MX"/>
              </w:rPr>
              <w:t xml:space="preserve">SXIII_E15_E17 WV </w:t>
            </w:r>
            <w:proofErr w:type="spellStart"/>
            <w:r w:rsidRPr="001408D5">
              <w:rPr>
                <w:lang w:val="es-MX"/>
              </w:rPr>
              <w:t>Sentinel</w:t>
            </w:r>
            <w:proofErr w:type="spellEnd"/>
            <w:r w:rsidRPr="001408D5">
              <w:rPr>
                <w:lang w:val="es-MX"/>
              </w:rPr>
              <w:t xml:space="preserve"> </w:t>
            </w:r>
            <w:proofErr w:type="spellStart"/>
            <w:r w:rsidRPr="001408D5">
              <w:rPr>
                <w:lang w:val="es-MX"/>
              </w:rPr>
              <w:t>Event</w:t>
            </w:r>
            <w:proofErr w:type="spellEnd"/>
            <w:r w:rsidRPr="001408D5">
              <w:rPr>
                <w:lang w:val="es-MX"/>
              </w:rPr>
              <w:t xml:space="preserve"> Log1</w:t>
            </w:r>
          </w:p>
          <w:p w14:paraId="5240135D" w14:textId="77777777" w:rsidR="00716FA5" w:rsidRPr="001408D5" w:rsidRDefault="00716FA5" w:rsidP="00595A8D">
            <w:pPr>
              <w:pStyle w:val="HSAGTableText"/>
              <w:numPr>
                <w:ilvl w:val="0"/>
                <w:numId w:val="19"/>
              </w:numPr>
              <w:contextualSpacing/>
            </w:pPr>
            <w:r w:rsidRPr="001408D5">
              <w:t>SXIII_E15_FY2025</w:t>
            </w:r>
          </w:p>
          <w:p w14:paraId="7F33C141" w14:textId="77777777" w:rsidR="00716FA5" w:rsidRPr="001408D5" w:rsidRDefault="00716FA5" w:rsidP="00595A8D">
            <w:pPr>
              <w:pStyle w:val="HSAGTableText"/>
              <w:numPr>
                <w:ilvl w:val="0"/>
                <w:numId w:val="19"/>
              </w:numPr>
              <w:contextualSpacing/>
            </w:pPr>
            <w:r w:rsidRPr="001408D5">
              <w:t>SXIII_E15_Incident QIP Log</w:t>
            </w:r>
          </w:p>
          <w:p w14:paraId="7F89DF15" w14:textId="77777777" w:rsidR="00716FA5" w:rsidRPr="001408D5" w:rsidRDefault="00716FA5" w:rsidP="00595A8D">
            <w:pPr>
              <w:pStyle w:val="HSAGTableText"/>
              <w:numPr>
                <w:ilvl w:val="0"/>
                <w:numId w:val="19"/>
              </w:numPr>
              <w:contextualSpacing/>
            </w:pPr>
            <w:r w:rsidRPr="001408D5">
              <w:t>SXIII_E15_reporting NMRE system</w:t>
            </w:r>
          </w:p>
          <w:p w14:paraId="67402E39" w14:textId="77777777" w:rsidR="00716FA5" w:rsidRPr="001408D5" w:rsidRDefault="00716FA5" w:rsidP="00595A8D">
            <w:pPr>
              <w:pStyle w:val="HSAGTableText"/>
              <w:numPr>
                <w:ilvl w:val="0"/>
                <w:numId w:val="19"/>
              </w:numPr>
              <w:contextualSpacing/>
            </w:pPr>
            <w:r w:rsidRPr="001408D5">
              <w:lastRenderedPageBreak/>
              <w:t>SXIII_E15_Sentinel Events Testing</w:t>
            </w:r>
          </w:p>
          <w:p w14:paraId="214FABB2" w14:textId="77777777" w:rsidR="00716FA5" w:rsidRDefault="00716FA5" w:rsidP="00595A8D">
            <w:pPr>
              <w:pStyle w:val="HSAGTableText"/>
              <w:numPr>
                <w:ilvl w:val="0"/>
                <w:numId w:val="19"/>
              </w:numPr>
              <w:contextualSpacing/>
            </w:pPr>
            <w:r w:rsidRPr="001408D5">
              <w:t>SXIII_E15_Summary notification</w:t>
            </w:r>
          </w:p>
          <w:p w14:paraId="5AEB0EC0" w14:textId="5DB26EC0" w:rsidR="00716FA5" w:rsidRPr="00903F99" w:rsidRDefault="00716FA5" w:rsidP="00595A8D">
            <w:pPr>
              <w:pStyle w:val="HSAGTableText"/>
              <w:numPr>
                <w:ilvl w:val="0"/>
                <w:numId w:val="19"/>
              </w:numPr>
              <w:contextualSpacing/>
            </w:pPr>
            <w:r w:rsidRPr="001408D5">
              <w:t>SXIII_E15_tracking</w:t>
            </w:r>
          </w:p>
        </w:tc>
        <w:tc>
          <w:tcPr>
            <w:tcW w:w="1416" w:type="dxa"/>
            <w:vMerge/>
            <w:shd w:val="clear" w:color="auto" w:fill="FFFFFF" w:themeFill="background1"/>
          </w:tcPr>
          <w:p w14:paraId="06A1BEF5" w14:textId="77777777" w:rsidR="00716FA5" w:rsidRPr="00903F99" w:rsidRDefault="00716FA5" w:rsidP="00716FA5">
            <w:pPr>
              <w:spacing w:before="0" w:after="0"/>
              <w:contextualSpacing/>
              <w:rPr>
                <w:sz w:val="22"/>
              </w:rPr>
            </w:pPr>
          </w:p>
        </w:tc>
      </w:tr>
      <w:tr w:rsidR="00716FA5" w:rsidRPr="00903F99" w14:paraId="28EBE8E6" w14:textId="77777777" w:rsidTr="00591030">
        <w:trPr>
          <w:trHeight w:val="374"/>
          <w:jc w:val="center"/>
        </w:trPr>
        <w:tc>
          <w:tcPr>
            <w:tcW w:w="14011" w:type="dxa"/>
            <w:gridSpan w:val="4"/>
            <w:vAlign w:val="center"/>
          </w:tcPr>
          <w:p w14:paraId="34E74FC4" w14:textId="79A0683F" w:rsidR="00716FA5" w:rsidRPr="00903F99" w:rsidRDefault="00716FA5" w:rsidP="00716FA5">
            <w:pPr>
              <w:pStyle w:val="HSAGTableText"/>
              <w:spacing w:before="0" w:after="0"/>
            </w:pPr>
            <w:r w:rsidRPr="001408D5">
              <w:rPr>
                <w:b/>
              </w:rPr>
              <w:t>PIHP Description of Process:</w:t>
            </w:r>
            <w:r w:rsidRPr="001408D5">
              <w:t xml:space="preserve"> New reporting system is uniformed and allows higher accuracy and efficiency. </w:t>
            </w:r>
          </w:p>
        </w:tc>
      </w:tr>
      <w:tr w:rsidR="00716FA5" w:rsidRPr="0026679F" w14:paraId="5FFCA11A" w14:textId="77777777" w:rsidTr="00591030">
        <w:trPr>
          <w:trHeight w:val="374"/>
          <w:jc w:val="center"/>
        </w:trPr>
        <w:tc>
          <w:tcPr>
            <w:tcW w:w="14011" w:type="dxa"/>
            <w:gridSpan w:val="4"/>
            <w:tcBorders>
              <w:bottom w:val="single" w:sz="4" w:space="0" w:color="000000"/>
            </w:tcBorders>
            <w:vAlign w:val="center"/>
          </w:tcPr>
          <w:p w14:paraId="7D527919" w14:textId="19CC3A5E" w:rsidR="00716FA5" w:rsidRPr="0026679F" w:rsidRDefault="00716FA5" w:rsidP="00716FA5">
            <w:pPr>
              <w:pStyle w:val="HSAGTableText"/>
              <w:spacing w:before="0"/>
            </w:pPr>
            <w:r w:rsidRPr="001408D5">
              <w:rPr>
                <w:b/>
              </w:rPr>
              <w:t xml:space="preserve">HSAG Findings: </w:t>
            </w:r>
            <w:r w:rsidRPr="001408D5">
              <w:rPr>
                <w:bCs/>
              </w:rPr>
              <w:t xml:space="preserve">The sentinel event examples did not demonstrate that the PIHP was determining critical incidents to be sentinel events within three business days after the critical incident occurred as required. For </w:t>
            </w:r>
            <w:proofErr w:type="gramStart"/>
            <w:r w:rsidRPr="001408D5">
              <w:rPr>
                <w:bCs/>
              </w:rPr>
              <w:t>Example</w:t>
            </w:r>
            <w:proofErr w:type="gramEnd"/>
            <w:r w:rsidRPr="001408D5">
              <w:rPr>
                <w:bCs/>
              </w:rPr>
              <w:t xml:space="preserve"> 1, the PIHP was notified of the critical incident on December 3, 2024, but the PIHP did not determine this to be a sentinel event until December 13, 2024. Additionally, it is unclear when the root cause analysis was initiated, as the record was not added into the information system until January 21, 2025. For </w:t>
            </w:r>
            <w:proofErr w:type="gramStart"/>
            <w:r w:rsidRPr="001408D5">
              <w:rPr>
                <w:bCs/>
              </w:rPr>
              <w:t>Example</w:t>
            </w:r>
            <w:proofErr w:type="gramEnd"/>
            <w:r w:rsidRPr="001408D5">
              <w:rPr>
                <w:bCs/>
              </w:rPr>
              <w:t xml:space="preserve"> 2, the critical incident was determined to be a sentinel event within the three allowable business days. However, although the critical incident was identified to be a sentinel event on September 3, 2024, the root cause analysis was not added to the system until October 1, 2024, which far exceeds the allowed two subsequent business days requirement. If the root cause analysis was started prior to this date, no documentation of this was provided. For the third example, the PIHP was informed of the member’s death on November 27, 2023, and the root cause analysis discussion did not appear to occur until January 18, 2024. No additional documentation was provided to confirm whether the root cause analysis was initiated prior to January 18, 2024.</w:t>
            </w:r>
          </w:p>
        </w:tc>
      </w:tr>
      <w:tr w:rsidR="00716FA5" w:rsidRPr="0026679F" w14:paraId="6D67FB0C" w14:textId="77777777" w:rsidTr="00591030">
        <w:trPr>
          <w:trHeight w:val="374"/>
          <w:jc w:val="center"/>
        </w:trPr>
        <w:tc>
          <w:tcPr>
            <w:tcW w:w="14011" w:type="dxa"/>
            <w:gridSpan w:val="4"/>
            <w:tcBorders>
              <w:top w:val="single" w:sz="4" w:space="0" w:color="000000"/>
              <w:bottom w:val="single" w:sz="4" w:space="0" w:color="auto"/>
            </w:tcBorders>
            <w:vAlign w:val="center"/>
          </w:tcPr>
          <w:p w14:paraId="79BD475F" w14:textId="4AE7D6D4" w:rsidR="00716FA5" w:rsidRPr="0026679F" w:rsidRDefault="00716FA5" w:rsidP="00716FA5">
            <w:pPr>
              <w:pStyle w:val="HSAGTableText"/>
              <w:rPr>
                <w:b/>
              </w:rPr>
            </w:pPr>
            <w:r w:rsidRPr="001408D5">
              <w:rPr>
                <w:b/>
              </w:rPr>
              <w:t>Required Actions:</w:t>
            </w:r>
            <w:r w:rsidRPr="001408D5">
              <w:t xml:space="preserve"> The PIHP or its delegate must determine whether a critical incident is a sentinel event within three business days after a critical incident occurred. If the critical incident is classified as a sentinel event, the PIHP or its delegate must commence a root cause analysis of the event within two subsequent business days.</w:t>
            </w:r>
          </w:p>
        </w:tc>
      </w:tr>
      <w:tr w:rsidR="00716FA5" w:rsidRPr="00D16F05" w14:paraId="12478EDB" w14:textId="77777777" w:rsidTr="00591030">
        <w:tblPrEx>
          <w:tblCellMar>
            <w:left w:w="108" w:type="dxa"/>
            <w:right w:w="108" w:type="dxa"/>
          </w:tblCellMar>
        </w:tblPrEx>
        <w:trPr>
          <w:trHeight w:val="374"/>
          <w:jc w:val="center"/>
        </w:trPr>
        <w:tc>
          <w:tcPr>
            <w:tcW w:w="14011" w:type="dxa"/>
            <w:gridSpan w:val="4"/>
            <w:tcBorders>
              <w:top w:val="single" w:sz="4" w:space="0" w:color="auto"/>
              <w:bottom w:val="single" w:sz="4" w:space="0" w:color="000000" w:themeColor="text1"/>
            </w:tcBorders>
            <w:shd w:val="clear" w:color="auto" w:fill="F79548" w:themeFill="accent4"/>
          </w:tcPr>
          <w:p w14:paraId="4916FF28" w14:textId="77777777" w:rsidR="00716FA5" w:rsidRPr="00D16F05" w:rsidRDefault="00716FA5" w:rsidP="00716FA5">
            <w:pPr>
              <w:pStyle w:val="HSAGTableText"/>
              <w:keepNext/>
              <w:contextualSpacing/>
              <w:rPr>
                <w:b/>
              </w:rPr>
            </w:pPr>
            <w:r>
              <w:rPr>
                <w:b/>
              </w:rPr>
              <w:t>PIHP Corrective Action Plan</w:t>
            </w:r>
          </w:p>
        </w:tc>
      </w:tr>
      <w:tr w:rsidR="00716FA5" w:rsidRPr="00984D92" w14:paraId="5C6E1909" w14:textId="77777777" w:rsidTr="00591030">
        <w:tblPrEx>
          <w:tblCellMar>
            <w:left w:w="108" w:type="dxa"/>
            <w:right w:w="108" w:type="dxa"/>
          </w:tblCellMar>
        </w:tblPrEx>
        <w:trPr>
          <w:trHeight w:val="374"/>
          <w:jc w:val="center"/>
        </w:trPr>
        <w:tc>
          <w:tcPr>
            <w:tcW w:w="14011" w:type="dxa"/>
            <w:gridSpan w:val="4"/>
            <w:tcBorders>
              <w:top w:val="single" w:sz="4" w:space="0" w:color="000000"/>
              <w:bottom w:val="single" w:sz="4" w:space="0" w:color="000000" w:themeColor="text1"/>
            </w:tcBorders>
          </w:tcPr>
          <w:p w14:paraId="5E401B8F" w14:textId="38CFA6FD" w:rsidR="00716FA5" w:rsidRPr="00984D92" w:rsidRDefault="00716FA5" w:rsidP="00716FA5">
            <w:pPr>
              <w:pStyle w:val="HSAGTableText"/>
              <w:contextualSpacing/>
              <w:rPr>
                <w:bCs/>
              </w:rPr>
            </w:pPr>
            <w:r>
              <w:rPr>
                <w:b/>
              </w:rPr>
              <w:t>Root Cause Analysis:</w:t>
            </w:r>
            <w:r w:rsidRPr="003F5489">
              <w:rPr>
                <w:bCs/>
              </w:rPr>
              <w:t xml:space="preserve"> </w:t>
            </w:r>
            <w:r w:rsidR="00C107A0" w:rsidRPr="00C107A0">
              <w:rPr>
                <w:bCs/>
              </w:rPr>
              <w:t>After reviewing the Critical Incident to Sentinel Event process and flow, NMRE found that when a Critical Incident is determined to be a Sentinel Event is also when the RCA starts. This date is captured on the Sentinel Event screen as “</w:t>
            </w:r>
            <w:r w:rsidR="00C107A0" w:rsidRPr="00C107A0">
              <w:rPr>
                <w:b/>
                <w:bCs/>
              </w:rPr>
              <w:t>Date and Time determined to be a Sentinel Event</w:t>
            </w:r>
            <w:r w:rsidR="00C107A0" w:rsidRPr="00C107A0">
              <w:rPr>
                <w:bCs/>
              </w:rPr>
              <w:t>”.</w:t>
            </w:r>
          </w:p>
        </w:tc>
      </w:tr>
      <w:tr w:rsidR="00716FA5" w:rsidRPr="00FC2C0F" w14:paraId="0E0DFC33" w14:textId="77777777" w:rsidTr="00591030">
        <w:tblPrEx>
          <w:tblCellMar>
            <w:left w:w="108" w:type="dxa"/>
            <w:right w:w="108" w:type="dxa"/>
          </w:tblCellMar>
        </w:tblPrEx>
        <w:trPr>
          <w:trHeight w:val="374"/>
          <w:jc w:val="center"/>
        </w:trPr>
        <w:tc>
          <w:tcPr>
            <w:tcW w:w="14011" w:type="dxa"/>
            <w:gridSpan w:val="4"/>
            <w:tcBorders>
              <w:top w:val="single" w:sz="4" w:space="0" w:color="000000"/>
              <w:bottom w:val="single" w:sz="4" w:space="0" w:color="000000" w:themeColor="text1"/>
            </w:tcBorders>
          </w:tcPr>
          <w:p w14:paraId="06C3512E" w14:textId="000DA78C" w:rsidR="00716FA5" w:rsidRPr="00FC2C0F" w:rsidRDefault="00716FA5" w:rsidP="00716FA5">
            <w:pPr>
              <w:pStyle w:val="HSAGTableText"/>
              <w:contextualSpacing/>
              <w:rPr>
                <w:bCs/>
              </w:rPr>
            </w:pPr>
            <w:r>
              <w:rPr>
                <w:b/>
              </w:rPr>
              <w:t>PIHP Remediation Plan</w:t>
            </w:r>
            <w:r w:rsidRPr="00B30934">
              <w:rPr>
                <w:b/>
              </w:rPr>
              <w:t>:</w:t>
            </w:r>
            <w:r w:rsidR="00C107A0">
              <w:rPr>
                <w:b/>
              </w:rPr>
              <w:t xml:space="preserve"> </w:t>
            </w:r>
            <w:r w:rsidR="00C107A0" w:rsidRPr="00C107A0">
              <w:rPr>
                <w:bCs/>
              </w:rPr>
              <w:t>The date that it was determined to be a Sentinel Event is when the RCA starts. It isn’t explicitly stated in the EMR (RECON), so NMRE will change the field display to show it is both “</w:t>
            </w:r>
            <w:r w:rsidR="00C107A0" w:rsidRPr="00C107A0">
              <w:rPr>
                <w:b/>
                <w:bCs/>
              </w:rPr>
              <w:t>Date and Time determined to be a Sentinel Event/RCA Start</w:t>
            </w:r>
            <w:r w:rsidR="00C107A0" w:rsidRPr="00C107A0">
              <w:rPr>
                <w:bCs/>
              </w:rPr>
              <w:t>”.</w:t>
            </w:r>
          </w:p>
        </w:tc>
      </w:tr>
      <w:tr w:rsidR="00716FA5" w:rsidRPr="00FC2C0F" w14:paraId="56796CAE" w14:textId="77777777" w:rsidTr="00591030">
        <w:tblPrEx>
          <w:tblCellMar>
            <w:left w:w="108" w:type="dxa"/>
            <w:right w:w="108" w:type="dxa"/>
          </w:tblCellMar>
        </w:tblPrEx>
        <w:trPr>
          <w:trHeight w:val="374"/>
          <w:jc w:val="center"/>
        </w:trPr>
        <w:tc>
          <w:tcPr>
            <w:tcW w:w="14011" w:type="dxa"/>
            <w:gridSpan w:val="4"/>
            <w:tcBorders>
              <w:top w:val="single" w:sz="4" w:space="0" w:color="000000"/>
              <w:bottom w:val="single" w:sz="4" w:space="0" w:color="000000" w:themeColor="text1"/>
            </w:tcBorders>
          </w:tcPr>
          <w:p w14:paraId="4990E3A1" w14:textId="5C6B0FEE" w:rsidR="00716FA5" w:rsidRPr="00FC2C0F" w:rsidRDefault="00716FA5" w:rsidP="00716FA5">
            <w:pPr>
              <w:pStyle w:val="HSAGTableText"/>
              <w:contextualSpacing/>
              <w:rPr>
                <w:bCs/>
              </w:rPr>
            </w:pPr>
            <w:r w:rsidRPr="00B30934">
              <w:rPr>
                <w:b/>
              </w:rPr>
              <w:t>Responsible Individual(s):</w:t>
            </w:r>
            <w:r>
              <w:rPr>
                <w:bCs/>
              </w:rPr>
              <w:t xml:space="preserve"> </w:t>
            </w:r>
            <w:r w:rsidR="00C107A0" w:rsidRPr="00C107A0">
              <w:rPr>
                <w:bCs/>
              </w:rPr>
              <w:t>Valerie McBain</w:t>
            </w:r>
            <w:r w:rsidR="00F42645">
              <w:rPr>
                <w:bCs/>
              </w:rPr>
              <w:t>, Quality Analyst for IT</w:t>
            </w:r>
            <w:r w:rsidR="00C107A0" w:rsidRPr="00C107A0">
              <w:rPr>
                <w:bCs/>
              </w:rPr>
              <w:t xml:space="preserve"> and PCE</w:t>
            </w:r>
          </w:p>
        </w:tc>
      </w:tr>
      <w:tr w:rsidR="00716FA5" w:rsidRPr="00FC2C0F" w14:paraId="6077E69B" w14:textId="77777777" w:rsidTr="00591030">
        <w:tblPrEx>
          <w:tblCellMar>
            <w:left w:w="108" w:type="dxa"/>
            <w:right w:w="108" w:type="dxa"/>
          </w:tblCellMar>
        </w:tblPrEx>
        <w:trPr>
          <w:trHeight w:val="374"/>
          <w:jc w:val="center"/>
        </w:trPr>
        <w:tc>
          <w:tcPr>
            <w:tcW w:w="14011" w:type="dxa"/>
            <w:gridSpan w:val="4"/>
            <w:tcBorders>
              <w:top w:val="single" w:sz="4" w:space="0" w:color="000000"/>
              <w:bottom w:val="single" w:sz="4" w:space="0" w:color="auto"/>
            </w:tcBorders>
          </w:tcPr>
          <w:p w14:paraId="0B4B3D36" w14:textId="11032B7F" w:rsidR="00716FA5" w:rsidRPr="00FC2C0F" w:rsidRDefault="00716FA5" w:rsidP="00716FA5">
            <w:pPr>
              <w:pStyle w:val="HSAGTableText"/>
              <w:contextualSpacing/>
              <w:rPr>
                <w:bCs/>
              </w:rPr>
            </w:pPr>
            <w:r w:rsidRPr="00B30934">
              <w:rPr>
                <w:b/>
              </w:rPr>
              <w:t>Timeline:</w:t>
            </w:r>
            <w:r>
              <w:rPr>
                <w:bCs/>
              </w:rPr>
              <w:t xml:space="preserve"> </w:t>
            </w:r>
            <w:r w:rsidR="00C107A0">
              <w:rPr>
                <w:bCs/>
              </w:rPr>
              <w:t>System update by 12/31/25</w:t>
            </w:r>
          </w:p>
        </w:tc>
      </w:tr>
      <w:tr w:rsidR="00716FA5" w14:paraId="4A59EDF4" w14:textId="77777777" w:rsidTr="00591030">
        <w:tblPrEx>
          <w:tblCellMar>
            <w:left w:w="108" w:type="dxa"/>
            <w:right w:w="108" w:type="dxa"/>
          </w:tblCellMar>
        </w:tblPrEx>
        <w:trPr>
          <w:trHeight w:val="374"/>
          <w:jc w:val="center"/>
        </w:trPr>
        <w:tc>
          <w:tcPr>
            <w:tcW w:w="10435" w:type="dxa"/>
            <w:gridSpan w:val="2"/>
            <w:tcBorders>
              <w:top w:val="single" w:sz="4" w:space="0" w:color="auto"/>
              <w:bottom w:val="single" w:sz="4" w:space="0" w:color="auto"/>
            </w:tcBorders>
            <w:shd w:val="clear" w:color="auto" w:fill="F2F2F2" w:themeFill="background1" w:themeFillShade="F2"/>
          </w:tcPr>
          <w:p w14:paraId="72D6A5AB" w14:textId="589F351F" w:rsidR="00716FA5" w:rsidRPr="00FC2C0F" w:rsidRDefault="00716FA5" w:rsidP="00716FA5">
            <w:pPr>
              <w:pStyle w:val="HSAGTableText"/>
              <w:contextualSpacing/>
              <w:rPr>
                <w:bCs/>
              </w:rPr>
            </w:pPr>
            <w:r>
              <w:rPr>
                <w:b/>
              </w:rPr>
              <w:t>MDHHS/HSAG Response:</w:t>
            </w:r>
            <w:r>
              <w:rPr>
                <w:bCs/>
              </w:rPr>
              <w:t xml:space="preserve"> </w:t>
            </w:r>
            <w:r w:rsidR="00377433" w:rsidRPr="00377433">
              <w:rPr>
                <w:bCs/>
              </w:rPr>
              <w:t xml:space="preserve">The PIHP’s remediation plan is sufficient to ensure compliance with the requirements for this program area. However, the PIHP must ensure </w:t>
            </w:r>
            <w:r w:rsidR="00377433">
              <w:rPr>
                <w:bCs/>
              </w:rPr>
              <w:t>that further education and training is conducted with appropriate staff</w:t>
            </w:r>
            <w:r w:rsidR="00377433" w:rsidRPr="00377433">
              <w:rPr>
                <w:bCs/>
              </w:rPr>
              <w:t xml:space="preserve">. </w:t>
            </w:r>
            <w:r w:rsidR="00B15DDD">
              <w:rPr>
                <w:bCs/>
              </w:rPr>
              <w:t xml:space="preserve">Additionally, the PIHP must ensure it maintains evidence that an RCA was started on the </w:t>
            </w:r>
            <w:r w:rsidR="00B15DDD">
              <w:rPr>
                <w:bCs/>
              </w:rPr>
              <w:lastRenderedPageBreak/>
              <w:t>corresponding date within</w:t>
            </w:r>
            <w:r w:rsidR="00B201D5">
              <w:rPr>
                <w:bCs/>
              </w:rPr>
              <w:t xml:space="preserve"> the</w:t>
            </w:r>
            <w:r w:rsidR="00B15DDD">
              <w:rPr>
                <w:bCs/>
              </w:rPr>
              <w:t xml:space="preserve"> “</w:t>
            </w:r>
            <w:r w:rsidR="00B15DDD" w:rsidRPr="00B15DDD">
              <w:rPr>
                <w:bCs/>
              </w:rPr>
              <w:t>Date and Time determined to be a Sentinel Event/RCA Start</w:t>
            </w:r>
            <w:r w:rsidR="00B15DDD">
              <w:rPr>
                <w:bCs/>
              </w:rPr>
              <w:t>” field.</w:t>
            </w:r>
            <w:r w:rsidR="00B15DDD" w:rsidRPr="00B15DDD">
              <w:rPr>
                <w:bCs/>
              </w:rPr>
              <w:t xml:space="preserve"> </w:t>
            </w:r>
            <w:r w:rsidR="00377433" w:rsidRPr="00377433">
              <w:rPr>
                <w:bCs/>
              </w:rPr>
              <w:t xml:space="preserve">While no additional information is required to be submitted at this time, the PIHP must proceed with </w:t>
            </w:r>
            <w:proofErr w:type="gramStart"/>
            <w:r w:rsidR="00377433" w:rsidRPr="00377433">
              <w:rPr>
                <w:bCs/>
              </w:rPr>
              <w:t>timely</w:t>
            </w:r>
            <w:proofErr w:type="gramEnd"/>
            <w:r w:rsidR="00377433" w:rsidRPr="00377433">
              <w:rPr>
                <w:bCs/>
              </w:rPr>
              <w:t xml:space="preserve"> implementation of its action plans. Please note, an </w:t>
            </w:r>
            <w:r w:rsidR="00377433" w:rsidRPr="00377433">
              <w:rPr>
                <w:bCs/>
                <w:i/>
                <w:iCs/>
              </w:rPr>
              <w:t xml:space="preserve">Accepted </w:t>
            </w:r>
            <w:proofErr w:type="gramStart"/>
            <w:r w:rsidR="00377433" w:rsidRPr="00377433">
              <w:rPr>
                <w:bCs/>
                <w:i/>
                <w:iCs/>
              </w:rPr>
              <w:t>With</w:t>
            </w:r>
            <w:proofErr w:type="gramEnd"/>
            <w:r w:rsidR="00377433" w:rsidRPr="00377433">
              <w:rPr>
                <w:bCs/>
                <w:i/>
                <w:iCs/>
              </w:rPr>
              <w:t xml:space="preserve"> Recommendation</w:t>
            </w:r>
            <w:r w:rsidR="00377433" w:rsidRPr="00377433">
              <w:rPr>
                <w:bCs/>
              </w:rPr>
              <w:t xml:space="preserve"> designation is not a guarantee of future compliance. Implementation of the PIHP’s action plans and demonstration of compliance will be assessed during future compliance review activities.</w:t>
            </w:r>
          </w:p>
        </w:tc>
        <w:tc>
          <w:tcPr>
            <w:tcW w:w="3576" w:type="dxa"/>
            <w:gridSpan w:val="2"/>
            <w:tcBorders>
              <w:top w:val="single" w:sz="4" w:space="0" w:color="auto"/>
              <w:bottom w:val="single" w:sz="4" w:space="0" w:color="auto"/>
            </w:tcBorders>
            <w:shd w:val="clear" w:color="auto" w:fill="F2F2F2" w:themeFill="background1" w:themeFillShade="F2"/>
          </w:tcPr>
          <w:p w14:paraId="2F9E7766" w14:textId="77777777" w:rsidR="00716FA5" w:rsidRPr="00C123EE" w:rsidRDefault="00000000" w:rsidP="00716FA5">
            <w:pPr>
              <w:pStyle w:val="HSAGTableText"/>
              <w:contextualSpacing/>
              <w:rPr>
                <w:bCs/>
              </w:rPr>
            </w:pPr>
            <w:sdt>
              <w:sdtPr>
                <w:rPr>
                  <w:bCs/>
                </w:rPr>
                <w:id w:val="-221211982"/>
                <w14:checkbox>
                  <w14:checked w14:val="0"/>
                  <w14:checkedState w14:val="2612" w14:font="MS Gothic"/>
                  <w14:uncheckedState w14:val="2610" w14:font="MS Gothic"/>
                </w14:checkbox>
              </w:sdtPr>
              <w:sdtContent>
                <w:r w:rsidR="00716FA5" w:rsidRPr="00C123EE">
                  <w:rPr>
                    <w:rFonts w:ascii="MS Gothic" w:eastAsia="MS Gothic" w:hAnsi="MS Gothic" w:hint="eastAsia"/>
                    <w:bCs/>
                  </w:rPr>
                  <w:t>☐</w:t>
                </w:r>
              </w:sdtContent>
            </w:sdt>
            <w:r w:rsidR="00716FA5" w:rsidRPr="00C123EE">
              <w:rPr>
                <w:bCs/>
              </w:rPr>
              <w:t xml:space="preserve"> Accepted</w:t>
            </w:r>
          </w:p>
          <w:p w14:paraId="6D575BA5" w14:textId="02D6FAA2" w:rsidR="00716FA5" w:rsidRPr="00C123EE" w:rsidRDefault="00000000" w:rsidP="00716FA5">
            <w:pPr>
              <w:pStyle w:val="HSAGTableText"/>
              <w:contextualSpacing/>
              <w:rPr>
                <w:bCs/>
              </w:rPr>
            </w:pPr>
            <w:sdt>
              <w:sdtPr>
                <w:rPr>
                  <w:bCs/>
                </w:rPr>
                <w:id w:val="103928392"/>
                <w14:checkbox>
                  <w14:checked w14:val="1"/>
                  <w14:checkedState w14:val="2612" w14:font="MS Gothic"/>
                  <w14:uncheckedState w14:val="2610" w14:font="MS Gothic"/>
                </w14:checkbox>
              </w:sdtPr>
              <w:sdtContent>
                <w:r w:rsidR="00377433">
                  <w:rPr>
                    <w:rFonts w:ascii="MS Gothic" w:eastAsia="MS Gothic" w:hAnsi="MS Gothic" w:hint="eastAsia"/>
                    <w:bCs/>
                  </w:rPr>
                  <w:t>☒</w:t>
                </w:r>
              </w:sdtContent>
            </w:sdt>
            <w:r w:rsidR="00716FA5" w:rsidRPr="00C123EE">
              <w:rPr>
                <w:bCs/>
              </w:rPr>
              <w:t xml:space="preserve"> Accepted </w:t>
            </w:r>
            <w:r w:rsidR="00716FA5">
              <w:rPr>
                <w:bCs/>
              </w:rPr>
              <w:t>W</w:t>
            </w:r>
            <w:r w:rsidR="00716FA5" w:rsidRPr="00C123EE">
              <w:rPr>
                <w:bCs/>
              </w:rPr>
              <w:t>ith Recommendations</w:t>
            </w:r>
          </w:p>
          <w:p w14:paraId="4B63AFBE" w14:textId="77777777" w:rsidR="00716FA5" w:rsidRDefault="00000000" w:rsidP="00716FA5">
            <w:pPr>
              <w:pStyle w:val="HSAGTableText"/>
              <w:contextualSpacing/>
              <w:rPr>
                <w:b/>
              </w:rPr>
            </w:pPr>
            <w:sdt>
              <w:sdtPr>
                <w:rPr>
                  <w:bCs/>
                </w:rPr>
                <w:id w:val="-1945291201"/>
                <w14:checkbox>
                  <w14:checked w14:val="0"/>
                  <w14:checkedState w14:val="2612" w14:font="MS Gothic"/>
                  <w14:uncheckedState w14:val="2610" w14:font="MS Gothic"/>
                </w14:checkbox>
              </w:sdtPr>
              <w:sdtContent>
                <w:r w:rsidR="00716FA5" w:rsidRPr="00C123EE">
                  <w:rPr>
                    <w:rFonts w:ascii="MS Gothic" w:eastAsia="MS Gothic" w:hAnsi="MS Gothic" w:hint="eastAsia"/>
                    <w:bCs/>
                  </w:rPr>
                  <w:t>☐</w:t>
                </w:r>
              </w:sdtContent>
            </w:sdt>
            <w:r w:rsidR="00716FA5" w:rsidRPr="00C123EE">
              <w:rPr>
                <w:bCs/>
              </w:rPr>
              <w:t xml:space="preserve"> Not Accepted</w:t>
            </w:r>
          </w:p>
        </w:tc>
      </w:tr>
    </w:tbl>
    <w:p w14:paraId="770A92FD" w14:textId="77777777" w:rsidR="00511FB6" w:rsidRPr="0065503C" w:rsidRDefault="00511FB6" w:rsidP="00511FB6"/>
    <w:sectPr w:rsidR="00511FB6" w:rsidRPr="0065503C" w:rsidSect="00C20826">
      <w:headerReference w:type="default" r:id="rId11"/>
      <w:footerReference w:type="default" r:id="rId12"/>
      <w:pgSz w:w="15840" w:h="12240" w:orient="landscape"/>
      <w:pgMar w:top="187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537F" w14:textId="77777777" w:rsidR="00D64ABB" w:rsidRDefault="00D64ABB" w:rsidP="00383899">
      <w:pPr>
        <w:spacing w:after="0"/>
      </w:pPr>
      <w:r>
        <w:separator/>
      </w:r>
    </w:p>
  </w:endnote>
  <w:endnote w:type="continuationSeparator" w:id="0">
    <w:p w14:paraId="6C52C8B1" w14:textId="77777777" w:rsidR="00D64ABB" w:rsidRDefault="00D64ABB"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1003A77" w:usb1="00000000" w:usb2="00550000" w:usb3="0069006E" w:csb0="00650077" w:csb1="00730072"/>
  </w:font>
  <w:font w:name="Consolas">
    <w:panose1 w:val="020B0609020204030204"/>
    <w:charset w:val="00"/>
    <w:family w:val="modern"/>
    <w:pitch w:val="fixed"/>
    <w:sig w:usb0="E00006FF" w:usb1="0000FCFF" w:usb2="00000001" w:usb3="00000000" w:csb0="0000019F" w:csb1="00000000"/>
  </w:font>
  <w:font w:name="Footlight MT Light">
    <w:panose1 w:val="0204060206030A02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CB7D" w14:textId="018AE55A" w:rsidR="003B25FA" w:rsidRPr="00DB3F32" w:rsidRDefault="003B25FA" w:rsidP="00DB3F32">
    <w:pPr>
      <w:pStyle w:val="Footer"/>
    </w:pPr>
    <w:r>
      <w:rPr>
        <w:b/>
      </w:rPr>
      <w:fldChar w:fldCharType="begin"/>
    </w:r>
    <w:r>
      <w:rPr>
        <w:b/>
      </w:rPr>
      <w:instrText xml:space="preserve"> DOCPROPERTY  DCfR  \* MERGEFORMAT </w:instrText>
    </w:r>
    <w:r>
      <w:rPr>
        <w:b/>
      </w:rPr>
      <w:fldChar w:fldCharType="separate"/>
    </w:r>
    <w:r w:rsidR="00EF2694">
      <w:rPr>
        <w:b/>
      </w:rPr>
      <w:t xml:space="preserve"> </w:t>
    </w:r>
    <w:r>
      <w:rPr>
        <w:b/>
      </w:rPr>
      <w:fldChar w:fldCharType="end"/>
    </w:r>
    <w:r w:rsidRPr="00DB3F32">
      <w:br/>
    </w:r>
    <w:r w:rsidRPr="00AE4509">
      <w:rPr>
        <w:b/>
      </w:rPr>
      <w:fldChar w:fldCharType="begin"/>
    </w:r>
    <w:r w:rsidRPr="00AE4509">
      <w:rPr>
        <w:b/>
      </w:rPr>
      <w:instrText xml:space="preserve"> DOCPROPERTY  Comments  \* MERGEFORMAT </w:instrText>
    </w:r>
    <w:r w:rsidRPr="00AE4509">
      <w:rPr>
        <w:b/>
      </w:rPr>
      <w:fldChar w:fldCharType="separate"/>
    </w:r>
    <w:r w:rsidR="00EF2694">
      <w:rPr>
        <w:b/>
      </w:rPr>
      <w:t>Region 2</w:t>
    </w:r>
    <w:r w:rsidRPr="00AE4509">
      <w:rPr>
        <w:b/>
      </w:rPr>
      <w:fldChar w:fldCharType="end"/>
    </w:r>
    <w:r>
      <w:rPr>
        <w:b/>
      </w:rPr>
      <w:t xml:space="preserve"> </w:t>
    </w:r>
    <w:fldSimple w:instr=" DOCPROPERTY  Title  \* MERGEFORMAT ">
      <w:r w:rsidR="00EF2694">
        <w:t>SFY 2025 Compliance Review Corrective Action Plan</w:t>
      </w:r>
    </w:fldSimple>
    <w:r w:rsidRPr="00DB3F32">
      <w:tab/>
    </w:r>
    <w:r w:rsidRPr="00DB3F32">
      <w:tab/>
    </w:r>
    <w:r w:rsidRPr="00D05CD1">
      <w:rPr>
        <w:b/>
        <w:sz w:val="16"/>
        <w:szCs w:val="16"/>
      </w:rPr>
      <w:t xml:space="preserve">Page </w:t>
    </w:r>
    <w:r w:rsidRPr="00D05CD1">
      <w:rPr>
        <w:b/>
        <w:sz w:val="16"/>
        <w:szCs w:val="16"/>
      </w:rPr>
      <w:fldChar w:fldCharType="begin"/>
    </w:r>
    <w:r w:rsidRPr="00D05CD1">
      <w:rPr>
        <w:b/>
        <w:sz w:val="16"/>
        <w:szCs w:val="16"/>
      </w:rPr>
      <w:instrText xml:space="preserve"> PAGE </w:instrText>
    </w:r>
    <w:r w:rsidRPr="00D05CD1">
      <w:rPr>
        <w:b/>
        <w:sz w:val="16"/>
        <w:szCs w:val="16"/>
      </w:rPr>
      <w:fldChar w:fldCharType="separate"/>
    </w:r>
    <w:r w:rsidR="00FA0892">
      <w:rPr>
        <w:b/>
        <w:noProof/>
        <w:sz w:val="16"/>
        <w:szCs w:val="16"/>
      </w:rPr>
      <w:t>4</w:t>
    </w:r>
    <w:r w:rsidRPr="00D05CD1">
      <w:rPr>
        <w:b/>
        <w:sz w:val="16"/>
        <w:szCs w:val="16"/>
      </w:rPr>
      <w:fldChar w:fldCharType="end"/>
    </w:r>
    <w:r w:rsidRPr="00DB3F32">
      <w:br/>
      <w:t xml:space="preserve">State of </w:t>
    </w:r>
    <w:fldSimple w:instr=" DOCPROPERTY  Company  \* MERGEFORMAT ">
      <w:r w:rsidR="00EF2694">
        <w:t>Michigan</w:t>
      </w:r>
    </w:fldSimple>
    <w:r w:rsidRPr="00DB3F32">
      <w:tab/>
    </w:r>
    <w:r w:rsidRPr="00DB3F32">
      <w:tab/>
    </w:r>
    <w:fldSimple w:instr=" DOCPROPERTY  Category  \* MERGEFORMAT ">
      <w:r w:rsidR="00EF2694">
        <w:t>R2-NMRE_MI2025_PIHP_CR_CAP_F1_0925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BEBC" w14:textId="77777777" w:rsidR="00D64ABB" w:rsidRDefault="00D64ABB" w:rsidP="00383899">
      <w:pPr>
        <w:spacing w:after="0"/>
      </w:pPr>
      <w:r>
        <w:separator/>
      </w:r>
    </w:p>
  </w:footnote>
  <w:footnote w:type="continuationSeparator" w:id="0">
    <w:p w14:paraId="25673EC1" w14:textId="77777777" w:rsidR="00D64ABB" w:rsidRDefault="00D64ABB"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30"/>
      <w:gridCol w:w="9000"/>
      <w:gridCol w:w="1530"/>
    </w:tblGrid>
    <w:tr w:rsidR="003B25FA" w14:paraId="049CD4F4" w14:textId="77777777" w:rsidTr="00D3552B">
      <w:trPr>
        <w:trHeight w:val="900"/>
        <w:jc w:val="center"/>
      </w:trPr>
      <w:tc>
        <w:tcPr>
          <w:tcW w:w="2430" w:type="dxa"/>
        </w:tcPr>
        <w:p w14:paraId="2000A17A" w14:textId="77777777" w:rsidR="003B25FA" w:rsidRDefault="003B25FA" w:rsidP="00D3552B">
          <w:pPr>
            <w:pStyle w:val="Heading3"/>
            <w:spacing w:before="0"/>
          </w:pPr>
          <w:r>
            <w:rPr>
              <w:noProof/>
            </w:rPr>
            <w:drawing>
              <wp:anchor distT="0" distB="0" distL="114300" distR="114300" simplePos="0" relativeHeight="251660288" behindDoc="0" locked="0" layoutInCell="1" allowOverlap="1" wp14:anchorId="07A1FB61" wp14:editId="6C355B14">
                <wp:simplePos x="0" y="0"/>
                <wp:positionH relativeFrom="column">
                  <wp:posOffset>0</wp:posOffset>
                </wp:positionH>
                <wp:positionV relativeFrom="paragraph">
                  <wp:posOffset>0</wp:posOffset>
                </wp:positionV>
                <wp:extent cx="1371600" cy="493776"/>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9000" w:type="dxa"/>
        </w:tcPr>
        <w:p w14:paraId="3DA60785" w14:textId="3E6F386B" w:rsidR="003B25FA" w:rsidRDefault="00DA3695" w:rsidP="00DA3695">
          <w:pPr>
            <w:pStyle w:val="ToolHeader"/>
          </w:pPr>
          <w:r>
            <w:t>SFY 202</w:t>
          </w:r>
          <w:r w:rsidR="00786D43">
            <w:t>5</w:t>
          </w:r>
          <w:r>
            <w:t xml:space="preserve"> </w:t>
          </w:r>
          <w:r w:rsidR="00D3552B">
            <w:t>Compliance Review</w:t>
          </w:r>
          <w:r>
            <w:t xml:space="preserve"> Corrective Action Plan</w:t>
          </w:r>
          <w:r>
            <w:br/>
            <w:t xml:space="preserve">for </w:t>
          </w:r>
          <w:fldSimple w:instr=" DOCPROPERTY  Comments  \* MERGEFORMAT ">
            <w:r w:rsidR="00EF2694">
              <w:t>Region 2</w:t>
            </w:r>
          </w:fldSimple>
          <w:r w:rsidR="00F94C39">
            <w:t>—</w:t>
          </w:r>
          <w:fldSimple w:instr=" DOCPROPERTY  Keywords  \* MERGEFORMAT ">
            <w:r w:rsidR="00EF2694">
              <w:t>Northern Michigan Regional Entity</w:t>
            </w:r>
          </w:fldSimple>
        </w:p>
      </w:tc>
      <w:tc>
        <w:tcPr>
          <w:tcW w:w="1530" w:type="dxa"/>
        </w:tcPr>
        <w:p w14:paraId="257B41ED" w14:textId="77777777" w:rsidR="003B25FA" w:rsidRDefault="003B25FA" w:rsidP="002077EB">
          <w:pPr>
            <w:pStyle w:val="Header"/>
            <w:jc w:val="center"/>
          </w:pPr>
        </w:p>
      </w:tc>
    </w:tr>
  </w:tbl>
  <w:p w14:paraId="0FA23C6E" w14:textId="77777777" w:rsidR="003B25FA" w:rsidRPr="007016AB" w:rsidRDefault="003B25FA" w:rsidP="006D0718">
    <w:pPr>
      <w:pStyle w:val="NormalWeb"/>
      <w:spacing w:before="0" w:beforeAutospacing="0" w:after="0" w:afterAutospacing="0"/>
      <w:rPr>
        <w:sz w:val="12"/>
        <w:szCs w:val="12"/>
      </w:rPr>
    </w:pPr>
    <w:r>
      <w:rPr>
        <w:noProof/>
      </w:rPr>
      <w:drawing>
        <wp:anchor distT="0" distB="0" distL="114300" distR="114300" simplePos="0" relativeHeight="251658240" behindDoc="1" locked="0" layoutInCell="1" allowOverlap="1" wp14:anchorId="55F3F9DD" wp14:editId="0BC566D5">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5CE6"/>
    <w:multiLevelType w:val="hybridMultilevel"/>
    <w:tmpl w:val="406A87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 w15:restartNumberingAfterBreak="0">
    <w:nsid w:val="03272A3B"/>
    <w:multiLevelType w:val="hybridMultilevel"/>
    <w:tmpl w:val="B81C7D36"/>
    <w:lvl w:ilvl="0" w:tplc="FFFFFFFF">
      <w:start w:val="1"/>
      <w:numFmt w:val="bullet"/>
      <w:pStyle w:val="TableBullet1-L-TNR11"/>
      <w:lvlText w:val=""/>
      <w:lvlJc w:val="left"/>
      <w:pPr>
        <w:tabs>
          <w:tab w:val="num" w:pos="360"/>
        </w:tabs>
        <w:ind w:left="144" w:hanging="144"/>
      </w:pPr>
      <w:rPr>
        <w:rFonts w:ascii="Wingdings" w:hAnsi="Wingdings" w:hint="default"/>
        <w:color w:val="003366"/>
        <w:position w:val="4"/>
        <w:sz w:val="12"/>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2C4E5E"/>
    <w:multiLevelType w:val="hybridMultilevel"/>
    <w:tmpl w:val="6EE26E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1222F1"/>
    <w:multiLevelType w:val="multilevel"/>
    <w:tmpl w:val="51EC41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9216790"/>
    <w:multiLevelType w:val="hybridMultilevel"/>
    <w:tmpl w:val="58C4E8EE"/>
    <w:lvl w:ilvl="0" w:tplc="B298ED1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971E0E"/>
    <w:multiLevelType w:val="multilevel"/>
    <w:tmpl w:val="91EEE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C2026A"/>
    <w:multiLevelType w:val="hybridMultilevel"/>
    <w:tmpl w:val="F2009B5A"/>
    <w:lvl w:ilvl="0" w:tplc="7ABCF4DE">
      <w:start w:val="1"/>
      <w:numFmt w:val="upperLetter"/>
      <w:pStyle w:val="ListBullet"/>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EC4E2A"/>
    <w:multiLevelType w:val="hybridMultilevel"/>
    <w:tmpl w:val="BA921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A575174"/>
    <w:multiLevelType w:val="multilevel"/>
    <w:tmpl w:val="0974F1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A784825"/>
    <w:multiLevelType w:val="multilevel"/>
    <w:tmpl w:val="E6329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3B7A8C"/>
    <w:multiLevelType w:val="multilevel"/>
    <w:tmpl w:val="2DD215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A1579A"/>
    <w:multiLevelType w:val="hybridMultilevel"/>
    <w:tmpl w:val="D6F8AA46"/>
    <w:lvl w:ilvl="0" w:tplc="0409000F">
      <w:start w:val="1"/>
      <w:numFmt w:val="decimal"/>
      <w:pStyle w:val="ProcessDash"/>
      <w:lvlText w:val="%1."/>
      <w:lvlJc w:val="left"/>
      <w:pPr>
        <w:tabs>
          <w:tab w:val="num" w:pos="1059"/>
        </w:tabs>
        <w:ind w:left="1059" w:hanging="360"/>
      </w:pPr>
    </w:lvl>
    <w:lvl w:ilvl="1" w:tplc="04090019" w:tentative="1">
      <w:start w:val="1"/>
      <w:numFmt w:val="lowerLetter"/>
      <w:lvlText w:val="%2."/>
      <w:lvlJc w:val="left"/>
      <w:pPr>
        <w:tabs>
          <w:tab w:val="num" w:pos="1779"/>
        </w:tabs>
        <w:ind w:left="1779" w:hanging="360"/>
      </w:pPr>
    </w:lvl>
    <w:lvl w:ilvl="2" w:tplc="0409001B" w:tentative="1">
      <w:start w:val="1"/>
      <w:numFmt w:val="lowerRoman"/>
      <w:lvlText w:val="%3."/>
      <w:lvlJc w:val="right"/>
      <w:pPr>
        <w:tabs>
          <w:tab w:val="num" w:pos="2499"/>
        </w:tabs>
        <w:ind w:left="2499" w:hanging="180"/>
      </w:pPr>
    </w:lvl>
    <w:lvl w:ilvl="3" w:tplc="0409000F" w:tentative="1">
      <w:start w:val="1"/>
      <w:numFmt w:val="decimal"/>
      <w:lvlText w:val="%4."/>
      <w:lvlJc w:val="left"/>
      <w:pPr>
        <w:tabs>
          <w:tab w:val="num" w:pos="3219"/>
        </w:tabs>
        <w:ind w:left="3219" w:hanging="360"/>
      </w:pPr>
    </w:lvl>
    <w:lvl w:ilvl="4" w:tplc="04090019" w:tentative="1">
      <w:start w:val="1"/>
      <w:numFmt w:val="lowerLetter"/>
      <w:lvlText w:val="%5."/>
      <w:lvlJc w:val="left"/>
      <w:pPr>
        <w:tabs>
          <w:tab w:val="num" w:pos="3939"/>
        </w:tabs>
        <w:ind w:left="3939" w:hanging="360"/>
      </w:pPr>
    </w:lvl>
    <w:lvl w:ilvl="5" w:tplc="0409001B" w:tentative="1">
      <w:start w:val="1"/>
      <w:numFmt w:val="lowerRoman"/>
      <w:lvlText w:val="%6."/>
      <w:lvlJc w:val="right"/>
      <w:pPr>
        <w:tabs>
          <w:tab w:val="num" w:pos="4659"/>
        </w:tabs>
        <w:ind w:left="4659" w:hanging="180"/>
      </w:pPr>
    </w:lvl>
    <w:lvl w:ilvl="6" w:tplc="0409000F" w:tentative="1">
      <w:start w:val="1"/>
      <w:numFmt w:val="decimal"/>
      <w:lvlText w:val="%7."/>
      <w:lvlJc w:val="left"/>
      <w:pPr>
        <w:tabs>
          <w:tab w:val="num" w:pos="5379"/>
        </w:tabs>
        <w:ind w:left="5379" w:hanging="360"/>
      </w:pPr>
    </w:lvl>
    <w:lvl w:ilvl="7" w:tplc="04090019" w:tentative="1">
      <w:start w:val="1"/>
      <w:numFmt w:val="lowerLetter"/>
      <w:lvlText w:val="%8."/>
      <w:lvlJc w:val="left"/>
      <w:pPr>
        <w:tabs>
          <w:tab w:val="num" w:pos="6099"/>
        </w:tabs>
        <w:ind w:left="6099" w:hanging="360"/>
      </w:pPr>
    </w:lvl>
    <w:lvl w:ilvl="8" w:tplc="0409001B" w:tentative="1">
      <w:start w:val="1"/>
      <w:numFmt w:val="lowerRoman"/>
      <w:lvlText w:val="%9."/>
      <w:lvlJc w:val="right"/>
      <w:pPr>
        <w:tabs>
          <w:tab w:val="num" w:pos="6819"/>
        </w:tabs>
        <w:ind w:left="6819" w:hanging="180"/>
      </w:pPr>
    </w:lvl>
  </w:abstractNum>
  <w:abstractNum w:abstractNumId="13" w15:restartNumberingAfterBreak="0">
    <w:nsid w:val="0CC47951"/>
    <w:multiLevelType w:val="multilevel"/>
    <w:tmpl w:val="CAEC48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BE51CF"/>
    <w:multiLevelType w:val="hybridMultilevel"/>
    <w:tmpl w:val="4D2E2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FAD1331"/>
    <w:multiLevelType w:val="multilevel"/>
    <w:tmpl w:val="EB5826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0607454"/>
    <w:multiLevelType w:val="hybridMultilevel"/>
    <w:tmpl w:val="C5DAE93E"/>
    <w:lvl w:ilvl="0" w:tplc="AE928A60">
      <w:start w:val="1"/>
      <w:numFmt w:val="decimal"/>
      <w:pStyle w:val="TableNumber1"/>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1F04AD2"/>
    <w:multiLevelType w:val="multilevel"/>
    <w:tmpl w:val="2CA043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1A26C5"/>
    <w:multiLevelType w:val="hybridMultilevel"/>
    <w:tmpl w:val="198ED5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2E46A63"/>
    <w:multiLevelType w:val="hybridMultilevel"/>
    <w:tmpl w:val="40A2F438"/>
    <w:lvl w:ilvl="0" w:tplc="24B46898">
      <w:start w:val="1"/>
      <w:numFmt w:val="decimal"/>
      <w:pStyle w:val="HSAG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2F3232"/>
    <w:multiLevelType w:val="multilevel"/>
    <w:tmpl w:val="DEAE79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37C3BAA"/>
    <w:multiLevelType w:val="multilevel"/>
    <w:tmpl w:val="2BC451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157020A4"/>
    <w:multiLevelType w:val="hybridMultilevel"/>
    <w:tmpl w:val="1570EC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5C96AFA"/>
    <w:multiLevelType w:val="multilevel"/>
    <w:tmpl w:val="92B82F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18815043"/>
    <w:multiLevelType w:val="multilevel"/>
    <w:tmpl w:val="DE54C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A0567BB"/>
    <w:multiLevelType w:val="multilevel"/>
    <w:tmpl w:val="4B7AE0CC"/>
    <w:styleLink w:val="StyleNumbered1"/>
    <w:lvl w:ilvl="0">
      <w:start w:val="1"/>
      <w:numFmt w:val="decimal"/>
      <w:lvlText w:val="%1."/>
      <w:lvlJc w:val="left"/>
      <w:pPr>
        <w:tabs>
          <w:tab w:val="num" w:pos="360"/>
        </w:tabs>
        <w:ind w:left="0" w:firstLine="0"/>
      </w:pPr>
      <w:rPr>
        <w:rFonts w:ascii="Tempus Sans ITC" w:hAnsi="Tempus Sans ITC" w:hint="default"/>
        <w:b w:val="0"/>
        <w:i/>
        <w:vanish w:val="0"/>
        <w:color w:val="FFFFFF"/>
        <w:sz w:val="3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vanish/>
        <w:color w:val="FF0000"/>
      </w:rPr>
    </w:lvl>
  </w:abstractNum>
  <w:abstractNum w:abstractNumId="26" w15:restartNumberingAfterBreak="0">
    <w:nsid w:val="1BBD49F8"/>
    <w:multiLevelType w:val="hybridMultilevel"/>
    <w:tmpl w:val="58A63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2611504"/>
    <w:multiLevelType w:val="hybridMultilevel"/>
    <w:tmpl w:val="E6D29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35D5FFF"/>
    <w:multiLevelType w:val="multilevel"/>
    <w:tmpl w:val="072EE6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242C6ED7"/>
    <w:multiLevelType w:val="hybridMultilevel"/>
    <w:tmpl w:val="04C0A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5D33F95"/>
    <w:multiLevelType w:val="hybridMultilevel"/>
    <w:tmpl w:val="10E2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4033EE"/>
    <w:multiLevelType w:val="multilevel"/>
    <w:tmpl w:val="EC3C40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9BF4243"/>
    <w:multiLevelType w:val="multilevel"/>
    <w:tmpl w:val="89B43B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2BEA7CB0"/>
    <w:multiLevelType w:val="multilevel"/>
    <w:tmpl w:val="99861F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2FE23D0C"/>
    <w:multiLevelType w:val="multilevel"/>
    <w:tmpl w:val="7BD04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307068D6"/>
    <w:multiLevelType w:val="multilevel"/>
    <w:tmpl w:val="341EE2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31A2415D"/>
    <w:multiLevelType w:val="hybridMultilevel"/>
    <w:tmpl w:val="BD2CD4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22A2B53"/>
    <w:multiLevelType w:val="multilevel"/>
    <w:tmpl w:val="984C43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380E230D"/>
    <w:multiLevelType w:val="hybridMultilevel"/>
    <w:tmpl w:val="00AC2360"/>
    <w:lvl w:ilvl="0" w:tplc="DCF6898A">
      <w:start w:val="1"/>
      <w:numFmt w:val="upperLetter"/>
      <w:pStyle w:val="HSAGAlphaBullet2"/>
      <w:lvlText w:val="%1."/>
      <w:lvlJc w:val="left"/>
      <w:pPr>
        <w:ind w:left="720" w:hanging="360"/>
      </w:pPr>
      <w:rPr>
        <w:rFonts w:hint="default"/>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78195F"/>
    <w:multiLevelType w:val="hybridMultilevel"/>
    <w:tmpl w:val="F1CCB4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9B101A7"/>
    <w:multiLevelType w:val="multilevel"/>
    <w:tmpl w:val="008E7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39EB3D79"/>
    <w:multiLevelType w:val="multilevel"/>
    <w:tmpl w:val="FB9A0E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3ED241DC"/>
    <w:multiLevelType w:val="multilevel"/>
    <w:tmpl w:val="9434F9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3F1A19E1"/>
    <w:multiLevelType w:val="multilevel"/>
    <w:tmpl w:val="E46C9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FDB7BC9"/>
    <w:multiLevelType w:val="hybridMultilevel"/>
    <w:tmpl w:val="B54A57FE"/>
    <w:lvl w:ilvl="0" w:tplc="FD566C38">
      <w:start w:val="1"/>
      <w:numFmt w:val="bullet"/>
      <w:pStyle w:val="HSAG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CD1A9E"/>
    <w:multiLevelType w:val="multilevel"/>
    <w:tmpl w:val="8A4266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267387D"/>
    <w:multiLevelType w:val="multilevel"/>
    <w:tmpl w:val="857EA2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43181F44"/>
    <w:multiLevelType w:val="hybridMultilevel"/>
    <w:tmpl w:val="78665B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4384D9A"/>
    <w:multiLevelType w:val="multilevel"/>
    <w:tmpl w:val="BDF4CA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4786319"/>
    <w:multiLevelType w:val="multilevel"/>
    <w:tmpl w:val="FFA4E2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6783564"/>
    <w:multiLevelType w:val="multilevel"/>
    <w:tmpl w:val="F6800D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47734C72"/>
    <w:multiLevelType w:val="multilevel"/>
    <w:tmpl w:val="0256FA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487A3800"/>
    <w:multiLevelType w:val="multilevel"/>
    <w:tmpl w:val="15E694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48DA08DE"/>
    <w:multiLevelType w:val="hybridMultilevel"/>
    <w:tmpl w:val="AD9AA0FE"/>
    <w:lvl w:ilvl="0" w:tplc="1A9C2D46">
      <w:start w:val="1"/>
      <w:numFmt w:val="bullet"/>
      <w:pStyle w:val="TableBullet1-L-TNR10"/>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4BCD3F17"/>
    <w:multiLevelType w:val="multilevel"/>
    <w:tmpl w:val="42CCD7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18A5DEC"/>
    <w:multiLevelType w:val="multilevel"/>
    <w:tmpl w:val="04E87A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52F54285"/>
    <w:multiLevelType w:val="multilevel"/>
    <w:tmpl w:val="63BE07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303729F"/>
    <w:multiLevelType w:val="multilevel"/>
    <w:tmpl w:val="303A96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54A744A7"/>
    <w:multiLevelType w:val="hybridMultilevel"/>
    <w:tmpl w:val="67E8886A"/>
    <w:lvl w:ilvl="0" w:tplc="DED2CEC6">
      <w:start w:val="1"/>
      <w:numFmt w:val="bullet"/>
      <w:pStyle w:val="HSAGTableBullet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8D43CF"/>
    <w:multiLevelType w:val="multilevel"/>
    <w:tmpl w:val="45E61A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63153A7"/>
    <w:multiLevelType w:val="hybridMultilevel"/>
    <w:tmpl w:val="3DAE8D3C"/>
    <w:lvl w:ilvl="0" w:tplc="CB865C5A">
      <w:start w:val="1"/>
      <w:numFmt w:val="bullet"/>
      <w:pStyle w:val="ListBullet1"/>
      <w:lvlText w:val=""/>
      <w:lvlJc w:val="left"/>
      <w:pPr>
        <w:tabs>
          <w:tab w:val="num" w:pos="792"/>
        </w:tabs>
        <w:ind w:left="792" w:hanging="360"/>
      </w:pPr>
      <w:rPr>
        <w:rFonts w:ascii="Wingdings" w:hAnsi="Wingdings" w:hint="default"/>
        <w:color w:val="003366"/>
        <w:sz w:val="12"/>
        <w:szCs w:val="12"/>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914273B"/>
    <w:multiLevelType w:val="hybridMultilevel"/>
    <w:tmpl w:val="CEBC8828"/>
    <w:lvl w:ilvl="0" w:tplc="D814045C">
      <w:start w:val="1"/>
      <w:numFmt w:val="bullet"/>
      <w:pStyle w:val="HSAGBullets2"/>
      <w:lvlText w:val="–"/>
      <w:lvlJc w:val="left"/>
      <w:pPr>
        <w:ind w:left="1440" w:hanging="360"/>
      </w:pPr>
      <w:rPr>
        <w:rFonts w:ascii="Times New Roman" w:hAnsi="Times New Roman" w:cs="Times New Roman" w:hint="default"/>
      </w:rPr>
    </w:lvl>
    <w:lvl w:ilvl="1" w:tplc="C8A85C8C">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A8C06F9"/>
    <w:multiLevelType w:val="hybridMultilevel"/>
    <w:tmpl w:val="A08CA60A"/>
    <w:lvl w:ilvl="0" w:tplc="561E4CCC">
      <w:start w:val="1"/>
      <w:numFmt w:val="bullet"/>
      <w:pStyle w:val="HSAGTableBullet1"/>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63" w15:restartNumberingAfterBreak="0">
    <w:nsid w:val="5ABE668E"/>
    <w:multiLevelType w:val="hybridMultilevel"/>
    <w:tmpl w:val="E3C223B2"/>
    <w:lvl w:ilvl="0" w:tplc="ABA425B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D112C6"/>
    <w:multiLevelType w:val="hybridMultilevel"/>
    <w:tmpl w:val="FF3A0ACE"/>
    <w:lvl w:ilvl="0" w:tplc="8A6CD228">
      <w:start w:val="1"/>
      <w:numFmt w:val="decimal"/>
      <w:pStyle w:val="TableNumber1-L-TNR1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3F87383"/>
    <w:multiLevelType w:val="multilevel"/>
    <w:tmpl w:val="7F6EFD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670A2D26"/>
    <w:multiLevelType w:val="multilevel"/>
    <w:tmpl w:val="862A94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68096B43"/>
    <w:multiLevelType w:val="multilevel"/>
    <w:tmpl w:val="66121B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5F61CC"/>
    <w:multiLevelType w:val="multilevel"/>
    <w:tmpl w:val="3E06DC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6E2A1794"/>
    <w:multiLevelType w:val="hybridMultilevel"/>
    <w:tmpl w:val="8B083A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E492EA7"/>
    <w:multiLevelType w:val="hybridMultilevel"/>
    <w:tmpl w:val="08A296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FF43C68"/>
    <w:multiLevelType w:val="multilevel"/>
    <w:tmpl w:val="2B3856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7099689F"/>
    <w:multiLevelType w:val="multilevel"/>
    <w:tmpl w:val="BB54FF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710C1ACB"/>
    <w:multiLevelType w:val="hybridMultilevel"/>
    <w:tmpl w:val="6040E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1C02DFB"/>
    <w:multiLevelType w:val="hybridMultilevel"/>
    <w:tmpl w:val="4094D0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2185272"/>
    <w:multiLevelType w:val="multilevel"/>
    <w:tmpl w:val="354E7D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3E1441A"/>
    <w:multiLevelType w:val="hybridMultilevel"/>
    <w:tmpl w:val="BF42C5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873151A"/>
    <w:multiLevelType w:val="hybridMultilevel"/>
    <w:tmpl w:val="51B4F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A8A586F"/>
    <w:multiLevelType w:val="multilevel"/>
    <w:tmpl w:val="B81C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B914413"/>
    <w:multiLevelType w:val="hybridMultilevel"/>
    <w:tmpl w:val="C5922BF0"/>
    <w:lvl w:ilvl="0" w:tplc="B1E65358">
      <w:start w:val="2"/>
      <w:numFmt w:val="lowerLetter"/>
      <w:lvlText w:val="%1."/>
      <w:lvlJc w:val="left"/>
      <w:pPr>
        <w:ind w:left="720" w:hanging="360"/>
      </w:pPr>
      <w:rPr>
        <w:rFonts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C5F0B84"/>
    <w:multiLevelType w:val="multilevel"/>
    <w:tmpl w:val="E4A2C5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7EF12CE5"/>
    <w:multiLevelType w:val="hybridMultilevel"/>
    <w:tmpl w:val="6ADAADB2"/>
    <w:lvl w:ilvl="0" w:tplc="D180D8A2">
      <w:start w:val="1"/>
      <w:numFmt w:val="bullet"/>
      <w:pStyle w:val="ListNoNumBullet-1"/>
      <w:lvlText w:val=""/>
      <w:lvlJc w:val="left"/>
      <w:pPr>
        <w:tabs>
          <w:tab w:val="num" w:pos="720"/>
        </w:tabs>
        <w:ind w:left="720" w:hanging="360"/>
      </w:pPr>
      <w:rPr>
        <w:rFonts w:ascii="Wingdings" w:hAnsi="Wingdings" w:hint="default"/>
        <w:color w:val="003366"/>
        <w:position w:val="4"/>
        <w:sz w:val="12"/>
        <w:szCs w:val="12"/>
        <w:vertAlign w:val="baseline"/>
      </w:rPr>
    </w:lvl>
    <w:lvl w:ilvl="1" w:tplc="7A766768">
      <w:start w:val="1"/>
      <w:numFmt w:val="bullet"/>
      <w:lvlText w:val=""/>
      <w:lvlJc w:val="left"/>
      <w:pPr>
        <w:tabs>
          <w:tab w:val="num" w:pos="1440"/>
        </w:tabs>
        <w:ind w:left="1440" w:hanging="360"/>
      </w:pPr>
      <w:rPr>
        <w:rFonts w:ascii="Symbol" w:hAnsi="Symbol" w:hint="default"/>
        <w:color w:val="auto"/>
        <w:position w:val="4"/>
        <w:sz w:val="12"/>
        <w:szCs w:val="12"/>
        <w:vertAlign w:val="baseline"/>
      </w:rPr>
    </w:lvl>
    <w:lvl w:ilvl="2" w:tplc="95F8D1F6" w:tentative="1">
      <w:start w:val="1"/>
      <w:numFmt w:val="bullet"/>
      <w:lvlText w:val=""/>
      <w:lvlJc w:val="left"/>
      <w:pPr>
        <w:tabs>
          <w:tab w:val="num" w:pos="2160"/>
        </w:tabs>
        <w:ind w:left="2160" w:hanging="360"/>
      </w:pPr>
      <w:rPr>
        <w:rFonts w:ascii="Wingdings" w:hAnsi="Wingdings" w:hint="default"/>
      </w:rPr>
    </w:lvl>
    <w:lvl w:ilvl="3" w:tplc="53789E34" w:tentative="1">
      <w:start w:val="1"/>
      <w:numFmt w:val="bullet"/>
      <w:lvlText w:val=""/>
      <w:lvlJc w:val="left"/>
      <w:pPr>
        <w:tabs>
          <w:tab w:val="num" w:pos="2880"/>
        </w:tabs>
        <w:ind w:left="2880" w:hanging="360"/>
      </w:pPr>
      <w:rPr>
        <w:rFonts w:ascii="Symbol" w:hAnsi="Symbol" w:hint="default"/>
      </w:rPr>
    </w:lvl>
    <w:lvl w:ilvl="4" w:tplc="C30A0862" w:tentative="1">
      <w:start w:val="1"/>
      <w:numFmt w:val="bullet"/>
      <w:lvlText w:val="o"/>
      <w:lvlJc w:val="left"/>
      <w:pPr>
        <w:tabs>
          <w:tab w:val="num" w:pos="3600"/>
        </w:tabs>
        <w:ind w:left="3600" w:hanging="360"/>
      </w:pPr>
      <w:rPr>
        <w:rFonts w:ascii="Courier New" w:hAnsi="Courier New" w:hint="default"/>
      </w:rPr>
    </w:lvl>
    <w:lvl w:ilvl="5" w:tplc="1CAE9C4E" w:tentative="1">
      <w:start w:val="1"/>
      <w:numFmt w:val="bullet"/>
      <w:lvlText w:val=""/>
      <w:lvlJc w:val="left"/>
      <w:pPr>
        <w:tabs>
          <w:tab w:val="num" w:pos="4320"/>
        </w:tabs>
        <w:ind w:left="4320" w:hanging="360"/>
      </w:pPr>
      <w:rPr>
        <w:rFonts w:ascii="Wingdings" w:hAnsi="Wingdings" w:hint="default"/>
      </w:rPr>
    </w:lvl>
    <w:lvl w:ilvl="6" w:tplc="F42AA970" w:tentative="1">
      <w:start w:val="1"/>
      <w:numFmt w:val="bullet"/>
      <w:lvlText w:val=""/>
      <w:lvlJc w:val="left"/>
      <w:pPr>
        <w:tabs>
          <w:tab w:val="num" w:pos="5040"/>
        </w:tabs>
        <w:ind w:left="5040" w:hanging="360"/>
      </w:pPr>
      <w:rPr>
        <w:rFonts w:ascii="Symbol" w:hAnsi="Symbol" w:hint="default"/>
      </w:rPr>
    </w:lvl>
    <w:lvl w:ilvl="7" w:tplc="DA0489DA" w:tentative="1">
      <w:start w:val="1"/>
      <w:numFmt w:val="bullet"/>
      <w:lvlText w:val="o"/>
      <w:lvlJc w:val="left"/>
      <w:pPr>
        <w:tabs>
          <w:tab w:val="num" w:pos="5760"/>
        </w:tabs>
        <w:ind w:left="5760" w:hanging="360"/>
      </w:pPr>
      <w:rPr>
        <w:rFonts w:ascii="Courier New" w:hAnsi="Courier New" w:hint="default"/>
      </w:rPr>
    </w:lvl>
    <w:lvl w:ilvl="8" w:tplc="F794A0F2"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F80366D"/>
    <w:multiLevelType w:val="multilevel"/>
    <w:tmpl w:val="89982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476838">
    <w:abstractNumId w:val="44"/>
  </w:num>
  <w:num w:numId="2" w16cid:durableId="883444791">
    <w:abstractNumId w:val="61"/>
  </w:num>
  <w:num w:numId="3" w16cid:durableId="620770893">
    <w:abstractNumId w:val="19"/>
  </w:num>
  <w:num w:numId="4" w16cid:durableId="75791720">
    <w:abstractNumId w:val="1"/>
  </w:num>
  <w:num w:numId="5" w16cid:durableId="2031027363">
    <w:abstractNumId w:val="63"/>
  </w:num>
  <w:num w:numId="6" w16cid:durableId="966398883">
    <w:abstractNumId w:val="62"/>
  </w:num>
  <w:num w:numId="7" w16cid:durableId="1644575171">
    <w:abstractNumId w:val="58"/>
  </w:num>
  <w:num w:numId="8" w16cid:durableId="58990871">
    <w:abstractNumId w:val="16"/>
  </w:num>
  <w:num w:numId="9" w16cid:durableId="966810979">
    <w:abstractNumId w:val="53"/>
  </w:num>
  <w:num w:numId="10" w16cid:durableId="124734797">
    <w:abstractNumId w:val="12"/>
  </w:num>
  <w:num w:numId="11" w16cid:durableId="1365519402">
    <w:abstractNumId w:val="7"/>
  </w:num>
  <w:num w:numId="12" w16cid:durableId="696348426">
    <w:abstractNumId w:val="38"/>
  </w:num>
  <w:num w:numId="13" w16cid:durableId="1761367631">
    <w:abstractNumId w:val="81"/>
  </w:num>
  <w:num w:numId="14" w16cid:durableId="560018947">
    <w:abstractNumId w:val="60"/>
  </w:num>
  <w:num w:numId="15" w16cid:durableId="1213421667">
    <w:abstractNumId w:val="2"/>
  </w:num>
  <w:num w:numId="16" w16cid:durableId="1155488065">
    <w:abstractNumId w:val="79"/>
  </w:num>
  <w:num w:numId="17" w16cid:durableId="476842958">
    <w:abstractNumId w:val="64"/>
  </w:num>
  <w:num w:numId="18" w16cid:durableId="7945783">
    <w:abstractNumId w:val="25"/>
  </w:num>
  <w:num w:numId="19" w16cid:durableId="1361278384">
    <w:abstractNumId w:val="26"/>
  </w:num>
  <w:num w:numId="20" w16cid:durableId="372073180">
    <w:abstractNumId w:val="18"/>
  </w:num>
  <w:num w:numId="21" w16cid:durableId="561864914">
    <w:abstractNumId w:val="27"/>
  </w:num>
  <w:num w:numId="22" w16cid:durableId="1906184682">
    <w:abstractNumId w:val="22"/>
  </w:num>
  <w:num w:numId="23" w16cid:durableId="2040082245">
    <w:abstractNumId w:val="30"/>
  </w:num>
  <w:num w:numId="24" w16cid:durableId="974526374">
    <w:abstractNumId w:val="36"/>
  </w:num>
  <w:num w:numId="25" w16cid:durableId="939337325">
    <w:abstractNumId w:val="39"/>
  </w:num>
  <w:num w:numId="26" w16cid:durableId="310406738">
    <w:abstractNumId w:val="47"/>
  </w:num>
  <w:num w:numId="27" w16cid:durableId="275721009">
    <w:abstractNumId w:val="5"/>
  </w:num>
  <w:num w:numId="28" w16cid:durableId="104152543">
    <w:abstractNumId w:val="3"/>
  </w:num>
  <w:num w:numId="29" w16cid:durableId="2011253651">
    <w:abstractNumId w:val="76"/>
  </w:num>
  <w:num w:numId="30" w16cid:durableId="1422529688">
    <w:abstractNumId w:val="69"/>
  </w:num>
  <w:num w:numId="31" w16cid:durableId="527643352">
    <w:abstractNumId w:val="0"/>
  </w:num>
  <w:num w:numId="32" w16cid:durableId="929966249">
    <w:abstractNumId w:val="70"/>
  </w:num>
  <w:num w:numId="33" w16cid:durableId="1183469102">
    <w:abstractNumId w:val="74"/>
  </w:num>
  <w:num w:numId="34" w16cid:durableId="1309632493">
    <w:abstractNumId w:val="73"/>
  </w:num>
  <w:num w:numId="35" w16cid:durableId="559443956">
    <w:abstractNumId w:val="14"/>
  </w:num>
  <w:num w:numId="36" w16cid:durableId="1806198247">
    <w:abstractNumId w:val="29"/>
  </w:num>
  <w:num w:numId="37" w16cid:durableId="925070638">
    <w:abstractNumId w:val="8"/>
  </w:num>
  <w:num w:numId="38" w16cid:durableId="2029672223">
    <w:abstractNumId w:val="77"/>
  </w:num>
  <w:num w:numId="39" w16cid:durableId="1461531754">
    <w:abstractNumId w:val="82"/>
  </w:num>
  <w:num w:numId="40" w16cid:durableId="706760982">
    <w:abstractNumId w:val="20"/>
  </w:num>
  <w:num w:numId="41" w16cid:durableId="124659353">
    <w:abstractNumId w:val="15"/>
  </w:num>
  <w:num w:numId="42" w16cid:durableId="1335691406">
    <w:abstractNumId w:val="72"/>
  </w:num>
  <w:num w:numId="43" w16cid:durableId="17197900">
    <w:abstractNumId w:val="75"/>
  </w:num>
  <w:num w:numId="44" w16cid:durableId="2101245880">
    <w:abstractNumId w:val="13"/>
  </w:num>
  <w:num w:numId="45" w16cid:durableId="1976988138">
    <w:abstractNumId w:val="78"/>
  </w:num>
  <w:num w:numId="46" w16cid:durableId="63988536">
    <w:abstractNumId w:val="68"/>
  </w:num>
  <w:num w:numId="47" w16cid:durableId="1934632956">
    <w:abstractNumId w:val="28"/>
  </w:num>
  <w:num w:numId="48" w16cid:durableId="1931548771">
    <w:abstractNumId w:val="31"/>
  </w:num>
  <w:num w:numId="49" w16cid:durableId="1943224255">
    <w:abstractNumId w:val="46"/>
  </w:num>
  <w:num w:numId="50" w16cid:durableId="1119108835">
    <w:abstractNumId w:val="40"/>
  </w:num>
  <w:num w:numId="51" w16cid:durableId="390349459">
    <w:abstractNumId w:val="43"/>
  </w:num>
  <w:num w:numId="52" w16cid:durableId="1611743799">
    <w:abstractNumId w:val="35"/>
  </w:num>
  <w:num w:numId="53" w16cid:durableId="2029479255">
    <w:abstractNumId w:val="4"/>
  </w:num>
  <w:num w:numId="54" w16cid:durableId="1396777316">
    <w:abstractNumId w:val="6"/>
  </w:num>
  <w:num w:numId="55" w16cid:durableId="1058935943">
    <w:abstractNumId w:val="32"/>
  </w:num>
  <w:num w:numId="56" w16cid:durableId="1526672595">
    <w:abstractNumId w:val="34"/>
  </w:num>
  <w:num w:numId="57" w16cid:durableId="685182124">
    <w:abstractNumId w:val="54"/>
  </w:num>
  <w:num w:numId="58" w16cid:durableId="1733195458">
    <w:abstractNumId w:val="66"/>
  </w:num>
  <w:num w:numId="59" w16cid:durableId="780343382">
    <w:abstractNumId w:val="55"/>
  </w:num>
  <w:num w:numId="60" w16cid:durableId="1294603291">
    <w:abstractNumId w:val="51"/>
  </w:num>
  <w:num w:numId="61" w16cid:durableId="1147556413">
    <w:abstractNumId w:val="17"/>
  </w:num>
  <w:num w:numId="62" w16cid:durableId="1589774619">
    <w:abstractNumId w:val="41"/>
  </w:num>
  <w:num w:numId="63" w16cid:durableId="1438482068">
    <w:abstractNumId w:val="21"/>
  </w:num>
  <w:num w:numId="64" w16cid:durableId="1897081656">
    <w:abstractNumId w:val="45"/>
  </w:num>
  <w:num w:numId="65" w16cid:durableId="751195498">
    <w:abstractNumId w:val="37"/>
  </w:num>
  <w:num w:numId="66" w16cid:durableId="869225355">
    <w:abstractNumId w:val="24"/>
  </w:num>
  <w:num w:numId="67" w16cid:durableId="1375613516">
    <w:abstractNumId w:val="50"/>
  </w:num>
  <w:num w:numId="68" w16cid:durableId="129174659">
    <w:abstractNumId w:val="52"/>
  </w:num>
  <w:num w:numId="69" w16cid:durableId="1445271635">
    <w:abstractNumId w:val="33"/>
  </w:num>
  <w:num w:numId="70" w16cid:durableId="1443959700">
    <w:abstractNumId w:val="67"/>
  </w:num>
  <w:num w:numId="71" w16cid:durableId="1949004874">
    <w:abstractNumId w:val="59"/>
  </w:num>
  <w:num w:numId="72" w16cid:durableId="1133712154">
    <w:abstractNumId w:val="11"/>
  </w:num>
  <w:num w:numId="73" w16cid:durableId="1507936903">
    <w:abstractNumId w:val="10"/>
  </w:num>
  <w:num w:numId="74" w16cid:durableId="416486827">
    <w:abstractNumId w:val="56"/>
  </w:num>
  <w:num w:numId="75" w16cid:durableId="311712620">
    <w:abstractNumId w:val="71"/>
  </w:num>
  <w:num w:numId="76" w16cid:durableId="670833127">
    <w:abstractNumId w:val="80"/>
  </w:num>
  <w:num w:numId="77" w16cid:durableId="833958513">
    <w:abstractNumId w:val="65"/>
  </w:num>
  <w:num w:numId="78" w16cid:durableId="602999555">
    <w:abstractNumId w:val="49"/>
  </w:num>
  <w:num w:numId="79" w16cid:durableId="1251619813">
    <w:abstractNumId w:val="23"/>
  </w:num>
  <w:num w:numId="80" w16cid:durableId="1094010409">
    <w:abstractNumId w:val="9"/>
  </w:num>
  <w:num w:numId="81" w16cid:durableId="928465021">
    <w:abstractNumId w:val="48"/>
  </w:num>
  <w:num w:numId="82" w16cid:durableId="1515593">
    <w:abstractNumId w:val="42"/>
  </w:num>
  <w:num w:numId="83" w16cid:durableId="764351062">
    <w:abstractNumId w:val="5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AB"/>
    <w:rsid w:val="000004FF"/>
    <w:rsid w:val="00000C59"/>
    <w:rsid w:val="00002FD7"/>
    <w:rsid w:val="0000382D"/>
    <w:rsid w:val="00003F46"/>
    <w:rsid w:val="0000489B"/>
    <w:rsid w:val="00007296"/>
    <w:rsid w:val="0001076C"/>
    <w:rsid w:val="00012019"/>
    <w:rsid w:val="00012318"/>
    <w:rsid w:val="000135B1"/>
    <w:rsid w:val="00014D1A"/>
    <w:rsid w:val="00015252"/>
    <w:rsid w:val="00015EE9"/>
    <w:rsid w:val="00030223"/>
    <w:rsid w:val="00032B33"/>
    <w:rsid w:val="000337CC"/>
    <w:rsid w:val="000349E4"/>
    <w:rsid w:val="00036501"/>
    <w:rsid w:val="000367B1"/>
    <w:rsid w:val="00037815"/>
    <w:rsid w:val="0004041A"/>
    <w:rsid w:val="00040FA1"/>
    <w:rsid w:val="0004198D"/>
    <w:rsid w:val="00041E28"/>
    <w:rsid w:val="0004250A"/>
    <w:rsid w:val="00042FF1"/>
    <w:rsid w:val="000446C8"/>
    <w:rsid w:val="00050C27"/>
    <w:rsid w:val="000530BA"/>
    <w:rsid w:val="000535AB"/>
    <w:rsid w:val="000536EC"/>
    <w:rsid w:val="00053CD8"/>
    <w:rsid w:val="00053D58"/>
    <w:rsid w:val="000560F6"/>
    <w:rsid w:val="00057327"/>
    <w:rsid w:val="000601A4"/>
    <w:rsid w:val="000641BE"/>
    <w:rsid w:val="00065AE4"/>
    <w:rsid w:val="0008066D"/>
    <w:rsid w:val="00081611"/>
    <w:rsid w:val="00081C15"/>
    <w:rsid w:val="000822C8"/>
    <w:rsid w:val="0008230D"/>
    <w:rsid w:val="00085522"/>
    <w:rsid w:val="00086866"/>
    <w:rsid w:val="00090021"/>
    <w:rsid w:val="00090EA0"/>
    <w:rsid w:val="00094A3B"/>
    <w:rsid w:val="0009580C"/>
    <w:rsid w:val="0009668D"/>
    <w:rsid w:val="000A2D7C"/>
    <w:rsid w:val="000B11CA"/>
    <w:rsid w:val="000B1F53"/>
    <w:rsid w:val="000B4326"/>
    <w:rsid w:val="000B451C"/>
    <w:rsid w:val="000B555D"/>
    <w:rsid w:val="000B6D9C"/>
    <w:rsid w:val="000C1585"/>
    <w:rsid w:val="000C44AD"/>
    <w:rsid w:val="000C4B71"/>
    <w:rsid w:val="000C77F6"/>
    <w:rsid w:val="000C78C7"/>
    <w:rsid w:val="000C792B"/>
    <w:rsid w:val="000D2301"/>
    <w:rsid w:val="000D2CBB"/>
    <w:rsid w:val="000D2E51"/>
    <w:rsid w:val="000D3850"/>
    <w:rsid w:val="000D4532"/>
    <w:rsid w:val="000D5C0A"/>
    <w:rsid w:val="000E00A5"/>
    <w:rsid w:val="000E5B89"/>
    <w:rsid w:val="000F0200"/>
    <w:rsid w:val="000F186A"/>
    <w:rsid w:val="000F694F"/>
    <w:rsid w:val="000F77AA"/>
    <w:rsid w:val="001007BF"/>
    <w:rsid w:val="00101D61"/>
    <w:rsid w:val="00102988"/>
    <w:rsid w:val="00107B32"/>
    <w:rsid w:val="00107E41"/>
    <w:rsid w:val="00112708"/>
    <w:rsid w:val="0011469C"/>
    <w:rsid w:val="00114BBE"/>
    <w:rsid w:val="0012211E"/>
    <w:rsid w:val="00122B83"/>
    <w:rsid w:val="00132A6A"/>
    <w:rsid w:val="00135A2A"/>
    <w:rsid w:val="00136309"/>
    <w:rsid w:val="001418CA"/>
    <w:rsid w:val="00142B06"/>
    <w:rsid w:val="00144D8A"/>
    <w:rsid w:val="00151CE4"/>
    <w:rsid w:val="00156F73"/>
    <w:rsid w:val="00162D7A"/>
    <w:rsid w:val="00163A20"/>
    <w:rsid w:val="001645A3"/>
    <w:rsid w:val="0016504C"/>
    <w:rsid w:val="00167951"/>
    <w:rsid w:val="00173F2C"/>
    <w:rsid w:val="00175A60"/>
    <w:rsid w:val="00177887"/>
    <w:rsid w:val="00180B79"/>
    <w:rsid w:val="00180C65"/>
    <w:rsid w:val="0018121A"/>
    <w:rsid w:val="001829B8"/>
    <w:rsid w:val="00183AC3"/>
    <w:rsid w:val="00184FF0"/>
    <w:rsid w:val="00185CB6"/>
    <w:rsid w:val="001937C2"/>
    <w:rsid w:val="00193FA5"/>
    <w:rsid w:val="00196E04"/>
    <w:rsid w:val="001A05AC"/>
    <w:rsid w:val="001A2D74"/>
    <w:rsid w:val="001A4584"/>
    <w:rsid w:val="001A49C8"/>
    <w:rsid w:val="001A4A16"/>
    <w:rsid w:val="001A655A"/>
    <w:rsid w:val="001A6D6A"/>
    <w:rsid w:val="001A6DEA"/>
    <w:rsid w:val="001B04C7"/>
    <w:rsid w:val="001B069A"/>
    <w:rsid w:val="001B1997"/>
    <w:rsid w:val="001B28C4"/>
    <w:rsid w:val="001B2C18"/>
    <w:rsid w:val="001B405A"/>
    <w:rsid w:val="001C3D96"/>
    <w:rsid w:val="001C759C"/>
    <w:rsid w:val="001C7FAE"/>
    <w:rsid w:val="001D02D2"/>
    <w:rsid w:val="001D1178"/>
    <w:rsid w:val="001D45EF"/>
    <w:rsid w:val="001D6B93"/>
    <w:rsid w:val="001E0546"/>
    <w:rsid w:val="001E0B77"/>
    <w:rsid w:val="001E2533"/>
    <w:rsid w:val="001E2CAF"/>
    <w:rsid w:val="001E63F0"/>
    <w:rsid w:val="001F16F0"/>
    <w:rsid w:val="001F2246"/>
    <w:rsid w:val="001F259A"/>
    <w:rsid w:val="001F34ED"/>
    <w:rsid w:val="001F3FA2"/>
    <w:rsid w:val="001F587E"/>
    <w:rsid w:val="001F6CB9"/>
    <w:rsid w:val="0020128E"/>
    <w:rsid w:val="00203FF9"/>
    <w:rsid w:val="00206A68"/>
    <w:rsid w:val="00206B28"/>
    <w:rsid w:val="00206E5E"/>
    <w:rsid w:val="002077EB"/>
    <w:rsid w:val="00207B64"/>
    <w:rsid w:val="00212437"/>
    <w:rsid w:val="00212AA3"/>
    <w:rsid w:val="00213B70"/>
    <w:rsid w:val="00214174"/>
    <w:rsid w:val="00214F41"/>
    <w:rsid w:val="00225051"/>
    <w:rsid w:val="002275E9"/>
    <w:rsid w:val="002279BA"/>
    <w:rsid w:val="00227B47"/>
    <w:rsid w:val="002302E7"/>
    <w:rsid w:val="00231C27"/>
    <w:rsid w:val="00232320"/>
    <w:rsid w:val="0023281B"/>
    <w:rsid w:val="0023399C"/>
    <w:rsid w:val="00234F2F"/>
    <w:rsid w:val="00237CC0"/>
    <w:rsid w:val="00246278"/>
    <w:rsid w:val="002467D5"/>
    <w:rsid w:val="002527F1"/>
    <w:rsid w:val="00255665"/>
    <w:rsid w:val="002569B6"/>
    <w:rsid w:val="00257CC6"/>
    <w:rsid w:val="00257FE1"/>
    <w:rsid w:val="002615C9"/>
    <w:rsid w:val="00261AAE"/>
    <w:rsid w:val="00261DBD"/>
    <w:rsid w:val="00264C17"/>
    <w:rsid w:val="00266B6C"/>
    <w:rsid w:val="00273E16"/>
    <w:rsid w:val="0027418D"/>
    <w:rsid w:val="00274820"/>
    <w:rsid w:val="002762AB"/>
    <w:rsid w:val="00277A95"/>
    <w:rsid w:val="0028310B"/>
    <w:rsid w:val="00283C8E"/>
    <w:rsid w:val="00283E62"/>
    <w:rsid w:val="00286E4E"/>
    <w:rsid w:val="002902D8"/>
    <w:rsid w:val="002914A2"/>
    <w:rsid w:val="00291F09"/>
    <w:rsid w:val="0029262A"/>
    <w:rsid w:val="0029302E"/>
    <w:rsid w:val="0029526F"/>
    <w:rsid w:val="0029543A"/>
    <w:rsid w:val="00297983"/>
    <w:rsid w:val="002A20EA"/>
    <w:rsid w:val="002A540D"/>
    <w:rsid w:val="002A7027"/>
    <w:rsid w:val="002A7F3F"/>
    <w:rsid w:val="002B1CC3"/>
    <w:rsid w:val="002B303E"/>
    <w:rsid w:val="002B3172"/>
    <w:rsid w:val="002B7DF4"/>
    <w:rsid w:val="002C0AFA"/>
    <w:rsid w:val="002C32DE"/>
    <w:rsid w:val="002C65B2"/>
    <w:rsid w:val="002C6F0A"/>
    <w:rsid w:val="002C6F54"/>
    <w:rsid w:val="002D16BB"/>
    <w:rsid w:val="002D3A64"/>
    <w:rsid w:val="002D6102"/>
    <w:rsid w:val="002D6534"/>
    <w:rsid w:val="002D6ED6"/>
    <w:rsid w:val="002E059F"/>
    <w:rsid w:val="002E33AB"/>
    <w:rsid w:val="002E509C"/>
    <w:rsid w:val="002F387B"/>
    <w:rsid w:val="002F3BCE"/>
    <w:rsid w:val="002F3EED"/>
    <w:rsid w:val="002F5C54"/>
    <w:rsid w:val="00302EC8"/>
    <w:rsid w:val="00304E41"/>
    <w:rsid w:val="003070D0"/>
    <w:rsid w:val="0031239C"/>
    <w:rsid w:val="00314CBA"/>
    <w:rsid w:val="003203B4"/>
    <w:rsid w:val="00320586"/>
    <w:rsid w:val="00321016"/>
    <w:rsid w:val="003214BA"/>
    <w:rsid w:val="00322354"/>
    <w:rsid w:val="00322C5E"/>
    <w:rsid w:val="00322CCC"/>
    <w:rsid w:val="00323983"/>
    <w:rsid w:val="003246B6"/>
    <w:rsid w:val="0032519C"/>
    <w:rsid w:val="003261EA"/>
    <w:rsid w:val="00327045"/>
    <w:rsid w:val="00327FB6"/>
    <w:rsid w:val="00332125"/>
    <w:rsid w:val="00333E2B"/>
    <w:rsid w:val="00334627"/>
    <w:rsid w:val="00337169"/>
    <w:rsid w:val="0034093D"/>
    <w:rsid w:val="00340FE8"/>
    <w:rsid w:val="00343B0D"/>
    <w:rsid w:val="00347E8E"/>
    <w:rsid w:val="00350721"/>
    <w:rsid w:val="00351BDA"/>
    <w:rsid w:val="003557DB"/>
    <w:rsid w:val="00355F7B"/>
    <w:rsid w:val="0036030C"/>
    <w:rsid w:val="0036263C"/>
    <w:rsid w:val="00364044"/>
    <w:rsid w:val="00364772"/>
    <w:rsid w:val="003674AF"/>
    <w:rsid w:val="00367DE2"/>
    <w:rsid w:val="003715CF"/>
    <w:rsid w:val="0037540D"/>
    <w:rsid w:val="00375B80"/>
    <w:rsid w:val="00377433"/>
    <w:rsid w:val="003818FF"/>
    <w:rsid w:val="0038276D"/>
    <w:rsid w:val="00383899"/>
    <w:rsid w:val="0038686B"/>
    <w:rsid w:val="003879DF"/>
    <w:rsid w:val="00387C90"/>
    <w:rsid w:val="0039010E"/>
    <w:rsid w:val="003961C1"/>
    <w:rsid w:val="003A3CB7"/>
    <w:rsid w:val="003A5A98"/>
    <w:rsid w:val="003A6527"/>
    <w:rsid w:val="003A7566"/>
    <w:rsid w:val="003A7ABF"/>
    <w:rsid w:val="003B0669"/>
    <w:rsid w:val="003B25FA"/>
    <w:rsid w:val="003B31E0"/>
    <w:rsid w:val="003B420E"/>
    <w:rsid w:val="003B4419"/>
    <w:rsid w:val="003C1980"/>
    <w:rsid w:val="003C39E0"/>
    <w:rsid w:val="003C40AF"/>
    <w:rsid w:val="003C65CA"/>
    <w:rsid w:val="003D0B07"/>
    <w:rsid w:val="003D4866"/>
    <w:rsid w:val="003D58CE"/>
    <w:rsid w:val="003D6015"/>
    <w:rsid w:val="003D72AA"/>
    <w:rsid w:val="003E00E9"/>
    <w:rsid w:val="003E08AE"/>
    <w:rsid w:val="003E0F69"/>
    <w:rsid w:val="003E3FC3"/>
    <w:rsid w:val="003E4A6B"/>
    <w:rsid w:val="003E5F73"/>
    <w:rsid w:val="003E6B4B"/>
    <w:rsid w:val="003E7596"/>
    <w:rsid w:val="003E7700"/>
    <w:rsid w:val="003E7A88"/>
    <w:rsid w:val="003F00FA"/>
    <w:rsid w:val="003F02B5"/>
    <w:rsid w:val="003F0727"/>
    <w:rsid w:val="003F1BE1"/>
    <w:rsid w:val="003F2522"/>
    <w:rsid w:val="003F6EF0"/>
    <w:rsid w:val="003F7B56"/>
    <w:rsid w:val="004009B7"/>
    <w:rsid w:val="0040259A"/>
    <w:rsid w:val="00402800"/>
    <w:rsid w:val="00403818"/>
    <w:rsid w:val="0040403C"/>
    <w:rsid w:val="004049B7"/>
    <w:rsid w:val="00406A19"/>
    <w:rsid w:val="00407F4D"/>
    <w:rsid w:val="00412F38"/>
    <w:rsid w:val="0041331C"/>
    <w:rsid w:val="00413763"/>
    <w:rsid w:val="00413F85"/>
    <w:rsid w:val="00415D2E"/>
    <w:rsid w:val="00417D2B"/>
    <w:rsid w:val="00420B77"/>
    <w:rsid w:val="00421B12"/>
    <w:rsid w:val="00422A6C"/>
    <w:rsid w:val="0042314D"/>
    <w:rsid w:val="00423E48"/>
    <w:rsid w:val="00426016"/>
    <w:rsid w:val="004270E2"/>
    <w:rsid w:val="00427F4D"/>
    <w:rsid w:val="00434831"/>
    <w:rsid w:val="00434941"/>
    <w:rsid w:val="00437C9F"/>
    <w:rsid w:val="00444725"/>
    <w:rsid w:val="00445E91"/>
    <w:rsid w:val="00446804"/>
    <w:rsid w:val="00450159"/>
    <w:rsid w:val="0045170D"/>
    <w:rsid w:val="00456335"/>
    <w:rsid w:val="004566CB"/>
    <w:rsid w:val="00456CB1"/>
    <w:rsid w:val="00456D6C"/>
    <w:rsid w:val="00456F3E"/>
    <w:rsid w:val="0046036D"/>
    <w:rsid w:val="004605AD"/>
    <w:rsid w:val="00463E6F"/>
    <w:rsid w:val="00464C78"/>
    <w:rsid w:val="0046607E"/>
    <w:rsid w:val="00477339"/>
    <w:rsid w:val="004824A0"/>
    <w:rsid w:val="00486DE7"/>
    <w:rsid w:val="00491244"/>
    <w:rsid w:val="00493FB5"/>
    <w:rsid w:val="00496A68"/>
    <w:rsid w:val="004A6861"/>
    <w:rsid w:val="004A7525"/>
    <w:rsid w:val="004A7F5F"/>
    <w:rsid w:val="004B200F"/>
    <w:rsid w:val="004B389A"/>
    <w:rsid w:val="004C2ADA"/>
    <w:rsid w:val="004C2B3F"/>
    <w:rsid w:val="004C4AB1"/>
    <w:rsid w:val="004C59C7"/>
    <w:rsid w:val="004D1117"/>
    <w:rsid w:val="004D4D61"/>
    <w:rsid w:val="004D673B"/>
    <w:rsid w:val="004D7499"/>
    <w:rsid w:val="004E02A0"/>
    <w:rsid w:val="004E294A"/>
    <w:rsid w:val="004E38E0"/>
    <w:rsid w:val="004E5425"/>
    <w:rsid w:val="004E5AFF"/>
    <w:rsid w:val="004E68A7"/>
    <w:rsid w:val="004F1425"/>
    <w:rsid w:val="004F417A"/>
    <w:rsid w:val="004F5180"/>
    <w:rsid w:val="004F53FC"/>
    <w:rsid w:val="004F5415"/>
    <w:rsid w:val="0050000B"/>
    <w:rsid w:val="0050031F"/>
    <w:rsid w:val="00502ADF"/>
    <w:rsid w:val="00510AF0"/>
    <w:rsid w:val="00511FB6"/>
    <w:rsid w:val="00512950"/>
    <w:rsid w:val="00512EE6"/>
    <w:rsid w:val="0051753E"/>
    <w:rsid w:val="00517D3A"/>
    <w:rsid w:val="005202A9"/>
    <w:rsid w:val="00525D6B"/>
    <w:rsid w:val="00526041"/>
    <w:rsid w:val="00530A2D"/>
    <w:rsid w:val="00534464"/>
    <w:rsid w:val="00534C1E"/>
    <w:rsid w:val="00542814"/>
    <w:rsid w:val="005434CC"/>
    <w:rsid w:val="00545A4C"/>
    <w:rsid w:val="0054621F"/>
    <w:rsid w:val="00547A77"/>
    <w:rsid w:val="00550C83"/>
    <w:rsid w:val="00551A1B"/>
    <w:rsid w:val="00555E2D"/>
    <w:rsid w:val="0056052F"/>
    <w:rsid w:val="00562B88"/>
    <w:rsid w:val="00563D91"/>
    <w:rsid w:val="00564801"/>
    <w:rsid w:val="0056549F"/>
    <w:rsid w:val="005708EA"/>
    <w:rsid w:val="00570F28"/>
    <w:rsid w:val="00575122"/>
    <w:rsid w:val="00575B68"/>
    <w:rsid w:val="00575D9B"/>
    <w:rsid w:val="00580A0E"/>
    <w:rsid w:val="005811C3"/>
    <w:rsid w:val="005832FE"/>
    <w:rsid w:val="00590818"/>
    <w:rsid w:val="005927A3"/>
    <w:rsid w:val="00595A8D"/>
    <w:rsid w:val="005962E6"/>
    <w:rsid w:val="005A18A7"/>
    <w:rsid w:val="005A5EA8"/>
    <w:rsid w:val="005B0E6B"/>
    <w:rsid w:val="005B27A4"/>
    <w:rsid w:val="005B2E54"/>
    <w:rsid w:val="005B3A35"/>
    <w:rsid w:val="005B3E7F"/>
    <w:rsid w:val="005B60E1"/>
    <w:rsid w:val="005B73BA"/>
    <w:rsid w:val="005C2F20"/>
    <w:rsid w:val="005C3755"/>
    <w:rsid w:val="005C3C2B"/>
    <w:rsid w:val="005C689E"/>
    <w:rsid w:val="005C7ECB"/>
    <w:rsid w:val="005D117B"/>
    <w:rsid w:val="005D6100"/>
    <w:rsid w:val="005E0057"/>
    <w:rsid w:val="005E30F7"/>
    <w:rsid w:val="005E45C9"/>
    <w:rsid w:val="005E4C25"/>
    <w:rsid w:val="005E7104"/>
    <w:rsid w:val="005F00AF"/>
    <w:rsid w:val="005F0514"/>
    <w:rsid w:val="005F127A"/>
    <w:rsid w:val="005F23E3"/>
    <w:rsid w:val="005F3C72"/>
    <w:rsid w:val="005F3EED"/>
    <w:rsid w:val="005F42D5"/>
    <w:rsid w:val="005F793F"/>
    <w:rsid w:val="005F7C0D"/>
    <w:rsid w:val="0060174E"/>
    <w:rsid w:val="006024C1"/>
    <w:rsid w:val="0060299D"/>
    <w:rsid w:val="00602CAC"/>
    <w:rsid w:val="00606A3F"/>
    <w:rsid w:val="0061075F"/>
    <w:rsid w:val="006133EB"/>
    <w:rsid w:val="00613AB0"/>
    <w:rsid w:val="00622DDB"/>
    <w:rsid w:val="00622E62"/>
    <w:rsid w:val="00624623"/>
    <w:rsid w:val="00624CFF"/>
    <w:rsid w:val="006255B7"/>
    <w:rsid w:val="00641207"/>
    <w:rsid w:val="0064133B"/>
    <w:rsid w:val="00641F18"/>
    <w:rsid w:val="00642D0A"/>
    <w:rsid w:val="00645C80"/>
    <w:rsid w:val="00647369"/>
    <w:rsid w:val="00652A8A"/>
    <w:rsid w:val="00653DC4"/>
    <w:rsid w:val="0065503C"/>
    <w:rsid w:val="0065625C"/>
    <w:rsid w:val="00657378"/>
    <w:rsid w:val="006655F5"/>
    <w:rsid w:val="00673FF3"/>
    <w:rsid w:val="00674977"/>
    <w:rsid w:val="006754A8"/>
    <w:rsid w:val="006808DE"/>
    <w:rsid w:val="00680E71"/>
    <w:rsid w:val="006823F6"/>
    <w:rsid w:val="00683305"/>
    <w:rsid w:val="00684098"/>
    <w:rsid w:val="00686A84"/>
    <w:rsid w:val="00690BA8"/>
    <w:rsid w:val="00692E13"/>
    <w:rsid w:val="00693F01"/>
    <w:rsid w:val="006954E7"/>
    <w:rsid w:val="006A0575"/>
    <w:rsid w:val="006A3EAF"/>
    <w:rsid w:val="006A503A"/>
    <w:rsid w:val="006A72BA"/>
    <w:rsid w:val="006B0C70"/>
    <w:rsid w:val="006B11CA"/>
    <w:rsid w:val="006B16C1"/>
    <w:rsid w:val="006B49E0"/>
    <w:rsid w:val="006B56A5"/>
    <w:rsid w:val="006B63E7"/>
    <w:rsid w:val="006C0ABC"/>
    <w:rsid w:val="006C0DAA"/>
    <w:rsid w:val="006C247B"/>
    <w:rsid w:val="006C516D"/>
    <w:rsid w:val="006C5734"/>
    <w:rsid w:val="006C6ED7"/>
    <w:rsid w:val="006C79B4"/>
    <w:rsid w:val="006D0718"/>
    <w:rsid w:val="006D19BA"/>
    <w:rsid w:val="006D2954"/>
    <w:rsid w:val="006D6A09"/>
    <w:rsid w:val="006E2F52"/>
    <w:rsid w:val="006E3B6F"/>
    <w:rsid w:val="006E3E9C"/>
    <w:rsid w:val="006E3F8E"/>
    <w:rsid w:val="006E59C4"/>
    <w:rsid w:val="006E5F5B"/>
    <w:rsid w:val="006E7252"/>
    <w:rsid w:val="006F00F3"/>
    <w:rsid w:val="006F12B9"/>
    <w:rsid w:val="006F37FD"/>
    <w:rsid w:val="006F6D9B"/>
    <w:rsid w:val="006F6FD2"/>
    <w:rsid w:val="006F73A2"/>
    <w:rsid w:val="006F7500"/>
    <w:rsid w:val="006F7B2C"/>
    <w:rsid w:val="00700262"/>
    <w:rsid w:val="007016AB"/>
    <w:rsid w:val="0070237F"/>
    <w:rsid w:val="007079C8"/>
    <w:rsid w:val="00707A79"/>
    <w:rsid w:val="00711719"/>
    <w:rsid w:val="00711785"/>
    <w:rsid w:val="00711A47"/>
    <w:rsid w:val="007122E4"/>
    <w:rsid w:val="00716B02"/>
    <w:rsid w:val="00716FA5"/>
    <w:rsid w:val="00722498"/>
    <w:rsid w:val="00722793"/>
    <w:rsid w:val="00722977"/>
    <w:rsid w:val="007241AF"/>
    <w:rsid w:val="0072545B"/>
    <w:rsid w:val="00733434"/>
    <w:rsid w:val="00733771"/>
    <w:rsid w:val="00734CDF"/>
    <w:rsid w:val="007374C2"/>
    <w:rsid w:val="007401D6"/>
    <w:rsid w:val="007410F2"/>
    <w:rsid w:val="007462DC"/>
    <w:rsid w:val="00751733"/>
    <w:rsid w:val="00751F5F"/>
    <w:rsid w:val="007536EF"/>
    <w:rsid w:val="00754A38"/>
    <w:rsid w:val="00754E9E"/>
    <w:rsid w:val="0075648A"/>
    <w:rsid w:val="00756F22"/>
    <w:rsid w:val="007578EE"/>
    <w:rsid w:val="0076063F"/>
    <w:rsid w:val="00762864"/>
    <w:rsid w:val="0076716C"/>
    <w:rsid w:val="00770845"/>
    <w:rsid w:val="00774D6A"/>
    <w:rsid w:val="007750B4"/>
    <w:rsid w:val="00776730"/>
    <w:rsid w:val="0078057D"/>
    <w:rsid w:val="0078092C"/>
    <w:rsid w:val="00786D43"/>
    <w:rsid w:val="0078706F"/>
    <w:rsid w:val="007902EC"/>
    <w:rsid w:val="007904D2"/>
    <w:rsid w:val="00790C8C"/>
    <w:rsid w:val="007957C6"/>
    <w:rsid w:val="007958D9"/>
    <w:rsid w:val="00796B53"/>
    <w:rsid w:val="00797D33"/>
    <w:rsid w:val="007A0808"/>
    <w:rsid w:val="007A0CBB"/>
    <w:rsid w:val="007A17F9"/>
    <w:rsid w:val="007A1B35"/>
    <w:rsid w:val="007A1B84"/>
    <w:rsid w:val="007B1DD8"/>
    <w:rsid w:val="007B31DF"/>
    <w:rsid w:val="007B36C9"/>
    <w:rsid w:val="007B3FEE"/>
    <w:rsid w:val="007B71A8"/>
    <w:rsid w:val="007B784B"/>
    <w:rsid w:val="007C305D"/>
    <w:rsid w:val="007C3955"/>
    <w:rsid w:val="007C4837"/>
    <w:rsid w:val="007D12DA"/>
    <w:rsid w:val="007D3A55"/>
    <w:rsid w:val="007D4262"/>
    <w:rsid w:val="007D650C"/>
    <w:rsid w:val="007D67CC"/>
    <w:rsid w:val="007D690E"/>
    <w:rsid w:val="007D7F02"/>
    <w:rsid w:val="007E0677"/>
    <w:rsid w:val="007E2A18"/>
    <w:rsid w:val="007E2EE5"/>
    <w:rsid w:val="007E2F80"/>
    <w:rsid w:val="007E64B5"/>
    <w:rsid w:val="007E7FCC"/>
    <w:rsid w:val="007F7250"/>
    <w:rsid w:val="008000BC"/>
    <w:rsid w:val="00800386"/>
    <w:rsid w:val="00801233"/>
    <w:rsid w:val="00801C67"/>
    <w:rsid w:val="008062E9"/>
    <w:rsid w:val="00806350"/>
    <w:rsid w:val="008071C7"/>
    <w:rsid w:val="008108E8"/>
    <w:rsid w:val="00813774"/>
    <w:rsid w:val="00814492"/>
    <w:rsid w:val="00817890"/>
    <w:rsid w:val="00820F5D"/>
    <w:rsid w:val="00822160"/>
    <w:rsid w:val="00823097"/>
    <w:rsid w:val="008239C8"/>
    <w:rsid w:val="00824D27"/>
    <w:rsid w:val="00825610"/>
    <w:rsid w:val="00825F69"/>
    <w:rsid w:val="0083050C"/>
    <w:rsid w:val="00833125"/>
    <w:rsid w:val="00833E2E"/>
    <w:rsid w:val="008357FA"/>
    <w:rsid w:val="00836BDC"/>
    <w:rsid w:val="0083724F"/>
    <w:rsid w:val="00840779"/>
    <w:rsid w:val="008427C2"/>
    <w:rsid w:val="00842870"/>
    <w:rsid w:val="0084696E"/>
    <w:rsid w:val="008469A9"/>
    <w:rsid w:val="008505A0"/>
    <w:rsid w:val="00851DB1"/>
    <w:rsid w:val="00852A77"/>
    <w:rsid w:val="008534EC"/>
    <w:rsid w:val="00854018"/>
    <w:rsid w:val="00855207"/>
    <w:rsid w:val="0085576D"/>
    <w:rsid w:val="008579A4"/>
    <w:rsid w:val="008626F7"/>
    <w:rsid w:val="00862931"/>
    <w:rsid w:val="00862C3F"/>
    <w:rsid w:val="00863748"/>
    <w:rsid w:val="00863DBD"/>
    <w:rsid w:val="00865B33"/>
    <w:rsid w:val="008705E8"/>
    <w:rsid w:val="00871C59"/>
    <w:rsid w:val="008728E8"/>
    <w:rsid w:val="00875952"/>
    <w:rsid w:val="00875D84"/>
    <w:rsid w:val="00880DC2"/>
    <w:rsid w:val="00881E59"/>
    <w:rsid w:val="00884A57"/>
    <w:rsid w:val="0088589E"/>
    <w:rsid w:val="008858A2"/>
    <w:rsid w:val="008867D4"/>
    <w:rsid w:val="0089343D"/>
    <w:rsid w:val="008A3EB6"/>
    <w:rsid w:val="008A5695"/>
    <w:rsid w:val="008A576D"/>
    <w:rsid w:val="008A6436"/>
    <w:rsid w:val="008A7B68"/>
    <w:rsid w:val="008B275C"/>
    <w:rsid w:val="008B2A4E"/>
    <w:rsid w:val="008B36E9"/>
    <w:rsid w:val="008B528F"/>
    <w:rsid w:val="008B5C78"/>
    <w:rsid w:val="008B72B5"/>
    <w:rsid w:val="008B7F3E"/>
    <w:rsid w:val="008C370C"/>
    <w:rsid w:val="008C45DD"/>
    <w:rsid w:val="008C583B"/>
    <w:rsid w:val="008C5FCA"/>
    <w:rsid w:val="008C6EA5"/>
    <w:rsid w:val="008C76EB"/>
    <w:rsid w:val="008D1F4A"/>
    <w:rsid w:val="008D2C47"/>
    <w:rsid w:val="008D3EB0"/>
    <w:rsid w:val="008D408D"/>
    <w:rsid w:val="008D68F4"/>
    <w:rsid w:val="008D6E85"/>
    <w:rsid w:val="008E1218"/>
    <w:rsid w:val="008E1976"/>
    <w:rsid w:val="008E25FB"/>
    <w:rsid w:val="008E3015"/>
    <w:rsid w:val="008E53E0"/>
    <w:rsid w:val="008E5766"/>
    <w:rsid w:val="008E58A4"/>
    <w:rsid w:val="008E67D3"/>
    <w:rsid w:val="008F243E"/>
    <w:rsid w:val="008F2D20"/>
    <w:rsid w:val="008F3266"/>
    <w:rsid w:val="008F394A"/>
    <w:rsid w:val="008F4220"/>
    <w:rsid w:val="008F6492"/>
    <w:rsid w:val="00901625"/>
    <w:rsid w:val="00903135"/>
    <w:rsid w:val="00903368"/>
    <w:rsid w:val="009043B5"/>
    <w:rsid w:val="00904F35"/>
    <w:rsid w:val="00906060"/>
    <w:rsid w:val="0090608B"/>
    <w:rsid w:val="009075F9"/>
    <w:rsid w:val="00910263"/>
    <w:rsid w:val="0091044A"/>
    <w:rsid w:val="00912540"/>
    <w:rsid w:val="0091335B"/>
    <w:rsid w:val="00915732"/>
    <w:rsid w:val="00916120"/>
    <w:rsid w:val="0091685D"/>
    <w:rsid w:val="00916D34"/>
    <w:rsid w:val="009216E8"/>
    <w:rsid w:val="00926991"/>
    <w:rsid w:val="00927538"/>
    <w:rsid w:val="00932085"/>
    <w:rsid w:val="00934881"/>
    <w:rsid w:val="00934CC9"/>
    <w:rsid w:val="00935211"/>
    <w:rsid w:val="00941D7D"/>
    <w:rsid w:val="00947216"/>
    <w:rsid w:val="009500CA"/>
    <w:rsid w:val="00950B3E"/>
    <w:rsid w:val="00952FF5"/>
    <w:rsid w:val="009530B9"/>
    <w:rsid w:val="00955AE7"/>
    <w:rsid w:val="009566BC"/>
    <w:rsid w:val="0096183A"/>
    <w:rsid w:val="009628E1"/>
    <w:rsid w:val="00965B13"/>
    <w:rsid w:val="009664A3"/>
    <w:rsid w:val="00966F90"/>
    <w:rsid w:val="00972620"/>
    <w:rsid w:val="009752F1"/>
    <w:rsid w:val="0097681D"/>
    <w:rsid w:val="00981E9D"/>
    <w:rsid w:val="0098323F"/>
    <w:rsid w:val="0098350B"/>
    <w:rsid w:val="00983804"/>
    <w:rsid w:val="00985584"/>
    <w:rsid w:val="00993BCA"/>
    <w:rsid w:val="0099491E"/>
    <w:rsid w:val="009A0359"/>
    <w:rsid w:val="009A0E33"/>
    <w:rsid w:val="009A1528"/>
    <w:rsid w:val="009A770B"/>
    <w:rsid w:val="009B390A"/>
    <w:rsid w:val="009B46AB"/>
    <w:rsid w:val="009B5E21"/>
    <w:rsid w:val="009B7638"/>
    <w:rsid w:val="009C5C62"/>
    <w:rsid w:val="009D407B"/>
    <w:rsid w:val="009D416D"/>
    <w:rsid w:val="009D480D"/>
    <w:rsid w:val="009D4CBA"/>
    <w:rsid w:val="009D6E81"/>
    <w:rsid w:val="009E2175"/>
    <w:rsid w:val="009E23E3"/>
    <w:rsid w:val="009E2556"/>
    <w:rsid w:val="009E6984"/>
    <w:rsid w:val="009E7401"/>
    <w:rsid w:val="009F23AC"/>
    <w:rsid w:val="009F2F57"/>
    <w:rsid w:val="00A06116"/>
    <w:rsid w:val="00A062A0"/>
    <w:rsid w:val="00A07A85"/>
    <w:rsid w:val="00A14B01"/>
    <w:rsid w:val="00A150E5"/>
    <w:rsid w:val="00A1574E"/>
    <w:rsid w:val="00A21C7A"/>
    <w:rsid w:val="00A21EE8"/>
    <w:rsid w:val="00A24685"/>
    <w:rsid w:val="00A26C95"/>
    <w:rsid w:val="00A26DC5"/>
    <w:rsid w:val="00A300CB"/>
    <w:rsid w:val="00A32E7B"/>
    <w:rsid w:val="00A3470A"/>
    <w:rsid w:val="00A375EE"/>
    <w:rsid w:val="00A4068F"/>
    <w:rsid w:val="00A410D2"/>
    <w:rsid w:val="00A450AD"/>
    <w:rsid w:val="00A455BC"/>
    <w:rsid w:val="00A4660F"/>
    <w:rsid w:val="00A4729E"/>
    <w:rsid w:val="00A47DDC"/>
    <w:rsid w:val="00A5237C"/>
    <w:rsid w:val="00A53233"/>
    <w:rsid w:val="00A55D49"/>
    <w:rsid w:val="00A571A1"/>
    <w:rsid w:val="00A57B94"/>
    <w:rsid w:val="00A57F6F"/>
    <w:rsid w:val="00A6144D"/>
    <w:rsid w:val="00A636AC"/>
    <w:rsid w:val="00A645CF"/>
    <w:rsid w:val="00A6796D"/>
    <w:rsid w:val="00A705D8"/>
    <w:rsid w:val="00A7166F"/>
    <w:rsid w:val="00A80140"/>
    <w:rsid w:val="00A81490"/>
    <w:rsid w:val="00A817AE"/>
    <w:rsid w:val="00A81EE8"/>
    <w:rsid w:val="00A823B1"/>
    <w:rsid w:val="00A82C65"/>
    <w:rsid w:val="00A8783A"/>
    <w:rsid w:val="00A90FCA"/>
    <w:rsid w:val="00A92369"/>
    <w:rsid w:val="00A94DE5"/>
    <w:rsid w:val="00A95028"/>
    <w:rsid w:val="00A96D82"/>
    <w:rsid w:val="00AA0D51"/>
    <w:rsid w:val="00AA2414"/>
    <w:rsid w:val="00AA4536"/>
    <w:rsid w:val="00AA4BE7"/>
    <w:rsid w:val="00AA4FDD"/>
    <w:rsid w:val="00AA5BB4"/>
    <w:rsid w:val="00AB05B0"/>
    <w:rsid w:val="00AB2950"/>
    <w:rsid w:val="00AB4142"/>
    <w:rsid w:val="00AB57CA"/>
    <w:rsid w:val="00AC2FD8"/>
    <w:rsid w:val="00AC5550"/>
    <w:rsid w:val="00AC6456"/>
    <w:rsid w:val="00AC6FA1"/>
    <w:rsid w:val="00AD4AAC"/>
    <w:rsid w:val="00AE4509"/>
    <w:rsid w:val="00AE70D7"/>
    <w:rsid w:val="00AE7B69"/>
    <w:rsid w:val="00AF09C3"/>
    <w:rsid w:val="00AF27E4"/>
    <w:rsid w:val="00B01786"/>
    <w:rsid w:val="00B03426"/>
    <w:rsid w:val="00B050E0"/>
    <w:rsid w:val="00B0720D"/>
    <w:rsid w:val="00B13ACB"/>
    <w:rsid w:val="00B15645"/>
    <w:rsid w:val="00B15DDD"/>
    <w:rsid w:val="00B201D5"/>
    <w:rsid w:val="00B20F2A"/>
    <w:rsid w:val="00B21804"/>
    <w:rsid w:val="00B22159"/>
    <w:rsid w:val="00B2681C"/>
    <w:rsid w:val="00B272C7"/>
    <w:rsid w:val="00B27D77"/>
    <w:rsid w:val="00B30934"/>
    <w:rsid w:val="00B31425"/>
    <w:rsid w:val="00B32A35"/>
    <w:rsid w:val="00B400F8"/>
    <w:rsid w:val="00B4501E"/>
    <w:rsid w:val="00B45D7F"/>
    <w:rsid w:val="00B47081"/>
    <w:rsid w:val="00B474A1"/>
    <w:rsid w:val="00B5179B"/>
    <w:rsid w:val="00B52283"/>
    <w:rsid w:val="00B5352E"/>
    <w:rsid w:val="00B55A5B"/>
    <w:rsid w:val="00B623A3"/>
    <w:rsid w:val="00B6248D"/>
    <w:rsid w:val="00B70986"/>
    <w:rsid w:val="00B70CCC"/>
    <w:rsid w:val="00B71788"/>
    <w:rsid w:val="00B72E28"/>
    <w:rsid w:val="00B7337B"/>
    <w:rsid w:val="00B7337C"/>
    <w:rsid w:val="00B74C08"/>
    <w:rsid w:val="00B75A9D"/>
    <w:rsid w:val="00B77491"/>
    <w:rsid w:val="00B81174"/>
    <w:rsid w:val="00B82DD3"/>
    <w:rsid w:val="00B83AD5"/>
    <w:rsid w:val="00B85AFB"/>
    <w:rsid w:val="00B9185C"/>
    <w:rsid w:val="00B967C0"/>
    <w:rsid w:val="00B96827"/>
    <w:rsid w:val="00BA0296"/>
    <w:rsid w:val="00BA13D5"/>
    <w:rsid w:val="00BA25CF"/>
    <w:rsid w:val="00BA436D"/>
    <w:rsid w:val="00BA607F"/>
    <w:rsid w:val="00BB2982"/>
    <w:rsid w:val="00BB3966"/>
    <w:rsid w:val="00BB3B0A"/>
    <w:rsid w:val="00BB46A6"/>
    <w:rsid w:val="00BB73DD"/>
    <w:rsid w:val="00BC0F50"/>
    <w:rsid w:val="00BC41A2"/>
    <w:rsid w:val="00BC5A26"/>
    <w:rsid w:val="00BC60B1"/>
    <w:rsid w:val="00BC6925"/>
    <w:rsid w:val="00BD00EC"/>
    <w:rsid w:val="00BE0CF9"/>
    <w:rsid w:val="00BE3AA7"/>
    <w:rsid w:val="00BE60B9"/>
    <w:rsid w:val="00BF03B3"/>
    <w:rsid w:val="00BF15D9"/>
    <w:rsid w:val="00BF34C2"/>
    <w:rsid w:val="00BF478A"/>
    <w:rsid w:val="00BF6FA5"/>
    <w:rsid w:val="00BF6FA9"/>
    <w:rsid w:val="00C00E76"/>
    <w:rsid w:val="00C02288"/>
    <w:rsid w:val="00C04A96"/>
    <w:rsid w:val="00C05CDC"/>
    <w:rsid w:val="00C107A0"/>
    <w:rsid w:val="00C11AD1"/>
    <w:rsid w:val="00C11E95"/>
    <w:rsid w:val="00C123EE"/>
    <w:rsid w:val="00C13748"/>
    <w:rsid w:val="00C14D03"/>
    <w:rsid w:val="00C1688D"/>
    <w:rsid w:val="00C17B97"/>
    <w:rsid w:val="00C20826"/>
    <w:rsid w:val="00C2102E"/>
    <w:rsid w:val="00C21B1F"/>
    <w:rsid w:val="00C21F9C"/>
    <w:rsid w:val="00C235B1"/>
    <w:rsid w:val="00C264C9"/>
    <w:rsid w:val="00C26643"/>
    <w:rsid w:val="00C359CB"/>
    <w:rsid w:val="00C36026"/>
    <w:rsid w:val="00C3783B"/>
    <w:rsid w:val="00C37BAF"/>
    <w:rsid w:val="00C37BD5"/>
    <w:rsid w:val="00C37F47"/>
    <w:rsid w:val="00C424CE"/>
    <w:rsid w:val="00C43DA5"/>
    <w:rsid w:val="00C45732"/>
    <w:rsid w:val="00C45FAA"/>
    <w:rsid w:val="00C46607"/>
    <w:rsid w:val="00C46D40"/>
    <w:rsid w:val="00C475FA"/>
    <w:rsid w:val="00C514E4"/>
    <w:rsid w:val="00C534C7"/>
    <w:rsid w:val="00C53FAD"/>
    <w:rsid w:val="00C54A2D"/>
    <w:rsid w:val="00C54EF6"/>
    <w:rsid w:val="00C55CEB"/>
    <w:rsid w:val="00C56EE3"/>
    <w:rsid w:val="00C56F4A"/>
    <w:rsid w:val="00C60295"/>
    <w:rsid w:val="00C60DEA"/>
    <w:rsid w:val="00C64628"/>
    <w:rsid w:val="00C64744"/>
    <w:rsid w:val="00C707A2"/>
    <w:rsid w:val="00C75C38"/>
    <w:rsid w:val="00C76AB3"/>
    <w:rsid w:val="00C826F6"/>
    <w:rsid w:val="00C82F30"/>
    <w:rsid w:val="00C846A7"/>
    <w:rsid w:val="00C84C2F"/>
    <w:rsid w:val="00C91C15"/>
    <w:rsid w:val="00C92924"/>
    <w:rsid w:val="00C9364E"/>
    <w:rsid w:val="00C93851"/>
    <w:rsid w:val="00C94883"/>
    <w:rsid w:val="00C95C8C"/>
    <w:rsid w:val="00CA099C"/>
    <w:rsid w:val="00CA3FD0"/>
    <w:rsid w:val="00CA5011"/>
    <w:rsid w:val="00CA7131"/>
    <w:rsid w:val="00CA7225"/>
    <w:rsid w:val="00CB05FC"/>
    <w:rsid w:val="00CB28C1"/>
    <w:rsid w:val="00CB51B7"/>
    <w:rsid w:val="00CC6E78"/>
    <w:rsid w:val="00CC7B10"/>
    <w:rsid w:val="00CD3A76"/>
    <w:rsid w:val="00CD4F18"/>
    <w:rsid w:val="00CE31A2"/>
    <w:rsid w:val="00CE6651"/>
    <w:rsid w:val="00CE667E"/>
    <w:rsid w:val="00CE6D2D"/>
    <w:rsid w:val="00CF021F"/>
    <w:rsid w:val="00CF0919"/>
    <w:rsid w:val="00CF0AEA"/>
    <w:rsid w:val="00CF0FB9"/>
    <w:rsid w:val="00CF106A"/>
    <w:rsid w:val="00CF1244"/>
    <w:rsid w:val="00CF29DD"/>
    <w:rsid w:val="00CF3183"/>
    <w:rsid w:val="00CF53CE"/>
    <w:rsid w:val="00CF7640"/>
    <w:rsid w:val="00CF7A1D"/>
    <w:rsid w:val="00D02425"/>
    <w:rsid w:val="00D02917"/>
    <w:rsid w:val="00D031FE"/>
    <w:rsid w:val="00D03F23"/>
    <w:rsid w:val="00D044DF"/>
    <w:rsid w:val="00D05CD1"/>
    <w:rsid w:val="00D071D1"/>
    <w:rsid w:val="00D10034"/>
    <w:rsid w:val="00D145A1"/>
    <w:rsid w:val="00D155C0"/>
    <w:rsid w:val="00D179F0"/>
    <w:rsid w:val="00D224B5"/>
    <w:rsid w:val="00D3552B"/>
    <w:rsid w:val="00D37164"/>
    <w:rsid w:val="00D377F5"/>
    <w:rsid w:val="00D40614"/>
    <w:rsid w:val="00D41872"/>
    <w:rsid w:val="00D42950"/>
    <w:rsid w:val="00D438E0"/>
    <w:rsid w:val="00D5041C"/>
    <w:rsid w:val="00D51AF2"/>
    <w:rsid w:val="00D52329"/>
    <w:rsid w:val="00D548CF"/>
    <w:rsid w:val="00D54C1A"/>
    <w:rsid w:val="00D61065"/>
    <w:rsid w:val="00D6234A"/>
    <w:rsid w:val="00D6438D"/>
    <w:rsid w:val="00D64ABB"/>
    <w:rsid w:val="00D65058"/>
    <w:rsid w:val="00D65E6B"/>
    <w:rsid w:val="00D71168"/>
    <w:rsid w:val="00D742A5"/>
    <w:rsid w:val="00D74816"/>
    <w:rsid w:val="00D7517C"/>
    <w:rsid w:val="00D75E48"/>
    <w:rsid w:val="00D7782D"/>
    <w:rsid w:val="00D77EDC"/>
    <w:rsid w:val="00D80382"/>
    <w:rsid w:val="00D826E4"/>
    <w:rsid w:val="00D82FC0"/>
    <w:rsid w:val="00D84CE7"/>
    <w:rsid w:val="00D85906"/>
    <w:rsid w:val="00D90FE2"/>
    <w:rsid w:val="00D93B31"/>
    <w:rsid w:val="00D94D82"/>
    <w:rsid w:val="00D96927"/>
    <w:rsid w:val="00DA0703"/>
    <w:rsid w:val="00DA10A7"/>
    <w:rsid w:val="00DA1C01"/>
    <w:rsid w:val="00DA2118"/>
    <w:rsid w:val="00DA2727"/>
    <w:rsid w:val="00DA28E6"/>
    <w:rsid w:val="00DA3695"/>
    <w:rsid w:val="00DA61DB"/>
    <w:rsid w:val="00DA622D"/>
    <w:rsid w:val="00DA747D"/>
    <w:rsid w:val="00DA7694"/>
    <w:rsid w:val="00DB23C4"/>
    <w:rsid w:val="00DB36FF"/>
    <w:rsid w:val="00DB3F32"/>
    <w:rsid w:val="00DB533A"/>
    <w:rsid w:val="00DC0A5D"/>
    <w:rsid w:val="00DC16BC"/>
    <w:rsid w:val="00DC3F0B"/>
    <w:rsid w:val="00DC54FA"/>
    <w:rsid w:val="00DC7426"/>
    <w:rsid w:val="00DD18D9"/>
    <w:rsid w:val="00DD2CEF"/>
    <w:rsid w:val="00DD5D86"/>
    <w:rsid w:val="00DE0029"/>
    <w:rsid w:val="00DE0361"/>
    <w:rsid w:val="00DE2361"/>
    <w:rsid w:val="00DE2690"/>
    <w:rsid w:val="00DE3565"/>
    <w:rsid w:val="00DE44E2"/>
    <w:rsid w:val="00DE5A6B"/>
    <w:rsid w:val="00DE5EC6"/>
    <w:rsid w:val="00DE66F5"/>
    <w:rsid w:val="00DF3EC4"/>
    <w:rsid w:val="00DF5B2C"/>
    <w:rsid w:val="00E01A1C"/>
    <w:rsid w:val="00E02D26"/>
    <w:rsid w:val="00E10856"/>
    <w:rsid w:val="00E11969"/>
    <w:rsid w:val="00E23927"/>
    <w:rsid w:val="00E23CA3"/>
    <w:rsid w:val="00E24C73"/>
    <w:rsid w:val="00E255B2"/>
    <w:rsid w:val="00E26E45"/>
    <w:rsid w:val="00E3013F"/>
    <w:rsid w:val="00E342CB"/>
    <w:rsid w:val="00E35F08"/>
    <w:rsid w:val="00E3721A"/>
    <w:rsid w:val="00E417E1"/>
    <w:rsid w:val="00E43270"/>
    <w:rsid w:val="00E44A27"/>
    <w:rsid w:val="00E44E67"/>
    <w:rsid w:val="00E50DE2"/>
    <w:rsid w:val="00E5229E"/>
    <w:rsid w:val="00E53BB0"/>
    <w:rsid w:val="00E55895"/>
    <w:rsid w:val="00E561D6"/>
    <w:rsid w:val="00E60535"/>
    <w:rsid w:val="00E61A02"/>
    <w:rsid w:val="00E62105"/>
    <w:rsid w:val="00E62CA7"/>
    <w:rsid w:val="00E643A3"/>
    <w:rsid w:val="00E67AFD"/>
    <w:rsid w:val="00E700DC"/>
    <w:rsid w:val="00E71B4E"/>
    <w:rsid w:val="00E7273D"/>
    <w:rsid w:val="00E80247"/>
    <w:rsid w:val="00E812DF"/>
    <w:rsid w:val="00E84973"/>
    <w:rsid w:val="00E865C5"/>
    <w:rsid w:val="00E91364"/>
    <w:rsid w:val="00E91A78"/>
    <w:rsid w:val="00E92AA4"/>
    <w:rsid w:val="00E93CDC"/>
    <w:rsid w:val="00E959F9"/>
    <w:rsid w:val="00E95B2E"/>
    <w:rsid w:val="00E97B37"/>
    <w:rsid w:val="00E97F75"/>
    <w:rsid w:val="00EA0F14"/>
    <w:rsid w:val="00EA3810"/>
    <w:rsid w:val="00EA4771"/>
    <w:rsid w:val="00EA548D"/>
    <w:rsid w:val="00EA754D"/>
    <w:rsid w:val="00EB33E6"/>
    <w:rsid w:val="00EC0934"/>
    <w:rsid w:val="00EC1063"/>
    <w:rsid w:val="00EC286E"/>
    <w:rsid w:val="00EC3B28"/>
    <w:rsid w:val="00EC3C7F"/>
    <w:rsid w:val="00EC4CCA"/>
    <w:rsid w:val="00EC7301"/>
    <w:rsid w:val="00ED4DD7"/>
    <w:rsid w:val="00ED56B5"/>
    <w:rsid w:val="00ED59EB"/>
    <w:rsid w:val="00ED69C4"/>
    <w:rsid w:val="00ED6A54"/>
    <w:rsid w:val="00ED74D4"/>
    <w:rsid w:val="00ED7685"/>
    <w:rsid w:val="00EE24B7"/>
    <w:rsid w:val="00EE3678"/>
    <w:rsid w:val="00EE3FE3"/>
    <w:rsid w:val="00EF1D94"/>
    <w:rsid w:val="00EF2694"/>
    <w:rsid w:val="00EF3677"/>
    <w:rsid w:val="00EF45FE"/>
    <w:rsid w:val="00EF492D"/>
    <w:rsid w:val="00EF4ABE"/>
    <w:rsid w:val="00EF4AF5"/>
    <w:rsid w:val="00EF5023"/>
    <w:rsid w:val="00EF5BA5"/>
    <w:rsid w:val="00EF6FE6"/>
    <w:rsid w:val="00EF785C"/>
    <w:rsid w:val="00F01A37"/>
    <w:rsid w:val="00F04988"/>
    <w:rsid w:val="00F05799"/>
    <w:rsid w:val="00F05840"/>
    <w:rsid w:val="00F071D3"/>
    <w:rsid w:val="00F07B80"/>
    <w:rsid w:val="00F1021A"/>
    <w:rsid w:val="00F10950"/>
    <w:rsid w:val="00F11008"/>
    <w:rsid w:val="00F122D9"/>
    <w:rsid w:val="00F12A08"/>
    <w:rsid w:val="00F14C3F"/>
    <w:rsid w:val="00F16427"/>
    <w:rsid w:val="00F1755F"/>
    <w:rsid w:val="00F21A33"/>
    <w:rsid w:val="00F2241D"/>
    <w:rsid w:val="00F2264F"/>
    <w:rsid w:val="00F2284E"/>
    <w:rsid w:val="00F234CD"/>
    <w:rsid w:val="00F257BE"/>
    <w:rsid w:val="00F26DB1"/>
    <w:rsid w:val="00F27F9A"/>
    <w:rsid w:val="00F33B4F"/>
    <w:rsid w:val="00F3448C"/>
    <w:rsid w:val="00F35B44"/>
    <w:rsid w:val="00F422D7"/>
    <w:rsid w:val="00F42645"/>
    <w:rsid w:val="00F4273F"/>
    <w:rsid w:val="00F43062"/>
    <w:rsid w:val="00F4400A"/>
    <w:rsid w:val="00F53E57"/>
    <w:rsid w:val="00F610E4"/>
    <w:rsid w:val="00F6111A"/>
    <w:rsid w:val="00F61BB7"/>
    <w:rsid w:val="00F63361"/>
    <w:rsid w:val="00F647AC"/>
    <w:rsid w:val="00F665E4"/>
    <w:rsid w:val="00F724BE"/>
    <w:rsid w:val="00F7361B"/>
    <w:rsid w:val="00F76CB1"/>
    <w:rsid w:val="00F8018F"/>
    <w:rsid w:val="00F81283"/>
    <w:rsid w:val="00F8327C"/>
    <w:rsid w:val="00F834ED"/>
    <w:rsid w:val="00F850E5"/>
    <w:rsid w:val="00F901D9"/>
    <w:rsid w:val="00F94C39"/>
    <w:rsid w:val="00F96C32"/>
    <w:rsid w:val="00FA0892"/>
    <w:rsid w:val="00FA21FE"/>
    <w:rsid w:val="00FA31B3"/>
    <w:rsid w:val="00FB19B1"/>
    <w:rsid w:val="00FB273B"/>
    <w:rsid w:val="00FB3AC9"/>
    <w:rsid w:val="00FB6641"/>
    <w:rsid w:val="00FB7D71"/>
    <w:rsid w:val="00FC04FA"/>
    <w:rsid w:val="00FC2C0F"/>
    <w:rsid w:val="00FC3105"/>
    <w:rsid w:val="00FC461F"/>
    <w:rsid w:val="00FC4927"/>
    <w:rsid w:val="00FC4CD3"/>
    <w:rsid w:val="00FD07A0"/>
    <w:rsid w:val="00FD10E3"/>
    <w:rsid w:val="00FD1D09"/>
    <w:rsid w:val="00FD29DC"/>
    <w:rsid w:val="00FD2D02"/>
    <w:rsid w:val="00FD2E27"/>
    <w:rsid w:val="00FD43E8"/>
    <w:rsid w:val="00FD58BF"/>
    <w:rsid w:val="00FD654E"/>
    <w:rsid w:val="00FE0213"/>
    <w:rsid w:val="00FE0B13"/>
    <w:rsid w:val="00FE1B7F"/>
    <w:rsid w:val="00FE20D0"/>
    <w:rsid w:val="00FE22A9"/>
    <w:rsid w:val="00FE5CE7"/>
    <w:rsid w:val="00FF2118"/>
    <w:rsid w:val="00FF225A"/>
    <w:rsid w:val="00FF39B0"/>
    <w:rsid w:val="00FF3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93872"/>
  <w15:docId w15:val="{921DF154-B3F0-490C-91EC-DCEBBE44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65503C"/>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6D0718"/>
    <w:pPr>
      <w:keepNext/>
      <w:pageBreakBefore/>
      <w:numPr>
        <w:numId w:val="5"/>
      </w:numPr>
      <w:shd w:val="clear" w:color="auto" w:fill="00549E" w:themeFill="text2"/>
      <w:spacing w:before="60" w:after="360"/>
      <w:ind w:left="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65503C"/>
    <w:pPr>
      <w:outlineLvl w:val="1"/>
    </w:pPr>
    <w:rPr>
      <w:rFonts w:ascii="Calibri" w:hAnsi="Calibri"/>
      <w:b/>
      <w:color w:val="00549E" w:themeColor="text2"/>
      <w:sz w:val="32"/>
      <w:szCs w:val="28"/>
    </w:rPr>
  </w:style>
  <w:style w:type="paragraph" w:styleId="Heading3">
    <w:name w:val="heading 3"/>
    <w:aliases w:val="HSAG Heading 3"/>
    <w:basedOn w:val="Normal"/>
    <w:next w:val="Normal"/>
    <w:link w:val="Heading3Char"/>
    <w:uiPriority w:val="9"/>
    <w:unhideWhenUsed/>
    <w:qFormat/>
    <w:rsid w:val="005F3C72"/>
    <w:pPr>
      <w:keepNext/>
      <w:keepLines/>
      <w:spacing w:before="360" w:after="0"/>
      <w:outlineLvl w:val="2"/>
    </w:pPr>
    <w:rPr>
      <w:rFonts w:ascii="Calibri" w:eastAsiaTheme="majorEastAsia" w:hAnsi="Calibri" w:cstheme="majorBidi"/>
      <w:b/>
      <w:bCs/>
      <w:i/>
      <w:color w:val="00549E" w:themeColor="text2"/>
      <w:sz w:val="28"/>
    </w:rPr>
  </w:style>
  <w:style w:type="paragraph" w:styleId="Heading4">
    <w:name w:val="heading 4"/>
    <w:aliases w:val="HSAG Heading 4"/>
    <w:basedOn w:val="Normal"/>
    <w:next w:val="Normal"/>
    <w:link w:val="Heading4Char"/>
    <w:uiPriority w:val="9"/>
    <w:unhideWhenUsed/>
    <w:qFormat/>
    <w:rsid w:val="00BA607F"/>
    <w:pPr>
      <w:spacing w:after="0"/>
      <w:outlineLvl w:val="3"/>
    </w:pPr>
    <w:rPr>
      <w:rFonts w:ascii="Calibri" w:hAnsi="Calibri"/>
      <w:b/>
      <w:color w:val="00549E" w:themeColor="text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78092C"/>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015252"/>
    <w:pPr>
      <w:keepNext/>
      <w:keepLines/>
      <w:outlineLvl w:val="5"/>
    </w:pPr>
    <w:rPr>
      <w:rFonts w:ascii="Calibri" w:eastAsiaTheme="majorEastAsia" w:hAnsi="Calibri" w:cstheme="majorBidi"/>
      <w:i/>
      <w:iCs/>
    </w:rPr>
  </w:style>
  <w:style w:type="paragraph" w:styleId="Heading7">
    <w:name w:val="heading 7"/>
    <w:basedOn w:val="Normal"/>
    <w:next w:val="Normal"/>
    <w:link w:val="Heading7Char"/>
    <w:uiPriority w:val="9"/>
    <w:qFormat/>
    <w:rsid w:val="00B474A1"/>
    <w:pPr>
      <w:tabs>
        <w:tab w:val="num" w:pos="3600"/>
      </w:tabs>
      <w:spacing w:before="0"/>
      <w:ind w:left="3600" w:hanging="720"/>
      <w:outlineLvl w:val="6"/>
    </w:pPr>
    <w:rPr>
      <w:rFonts w:eastAsia="Times New Roman" w:cs="Times New Roman"/>
      <w:szCs w:val="20"/>
    </w:rPr>
  </w:style>
  <w:style w:type="paragraph" w:styleId="Heading8">
    <w:name w:val="heading 8"/>
    <w:basedOn w:val="Normal"/>
    <w:next w:val="Normal"/>
    <w:link w:val="Heading8Char"/>
    <w:uiPriority w:val="9"/>
    <w:unhideWhenUsed/>
    <w:qFormat/>
    <w:rsid w:val="00DA28E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A28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899"/>
    <w:pPr>
      <w:tabs>
        <w:tab w:val="center" w:pos="4680"/>
        <w:tab w:val="right" w:pos="9360"/>
      </w:tabs>
      <w:spacing w:after="0"/>
    </w:pPr>
  </w:style>
  <w:style w:type="character" w:customStyle="1" w:styleId="HeaderChar">
    <w:name w:val="Header Char"/>
    <w:basedOn w:val="DefaultParagraphFont"/>
    <w:link w:val="Header"/>
    <w:uiPriority w:val="99"/>
    <w:rsid w:val="00383899"/>
  </w:style>
  <w:style w:type="paragraph" w:styleId="Footer">
    <w:name w:val="footer"/>
    <w:basedOn w:val="Normal"/>
    <w:link w:val="FooterChar"/>
    <w:uiPriority w:val="99"/>
    <w:unhideWhenUsed/>
    <w:rsid w:val="00525D6B"/>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525D6B"/>
    <w:rPr>
      <w:rFonts w:ascii="Calibri" w:hAnsi="Calibri"/>
      <w:sz w:val="14"/>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Cs w:val="24"/>
    </w:rPr>
  </w:style>
  <w:style w:type="table" w:styleId="TableGrid">
    <w:name w:val="Table Grid"/>
    <w:basedOn w:val="TableNormal"/>
    <w:rsid w:val="0029543A"/>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paragraph" w:styleId="Quote">
    <w:name w:val="Quote"/>
    <w:basedOn w:val="Normal"/>
    <w:next w:val="Normal"/>
    <w:link w:val="QuoteChar"/>
    <w:uiPriority w:val="29"/>
    <w:qFormat/>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rsid w:val="006D0718"/>
    <w:rPr>
      <w:rFonts w:ascii="Calibri" w:eastAsia="Times New Roman" w:hAnsi="Calibri" w:cs="Arial"/>
      <w:b/>
      <w:bCs/>
      <w:color w:val="FFFFFF"/>
      <w:kern w:val="32"/>
      <w:sz w:val="32"/>
      <w:szCs w:val="32"/>
      <w:shd w:val="clear" w:color="auto" w:fill="00549E" w:themeFill="text2"/>
    </w:rPr>
  </w:style>
  <w:style w:type="character" w:customStyle="1" w:styleId="Heading2Char">
    <w:name w:val="Heading 2 Char"/>
    <w:aliases w:val="HSAG Heading 2 Char"/>
    <w:basedOn w:val="DefaultParagraphFont"/>
    <w:link w:val="Heading2"/>
    <w:uiPriority w:val="9"/>
    <w:rsid w:val="0065503C"/>
    <w:rPr>
      <w:rFonts w:ascii="Calibri" w:hAnsi="Calibri"/>
      <w:b/>
      <w:color w:val="00549E" w:themeColor="text2"/>
      <w:sz w:val="32"/>
      <w:szCs w:val="28"/>
    </w:rPr>
  </w:style>
  <w:style w:type="character" w:customStyle="1" w:styleId="Heading3Char">
    <w:name w:val="Heading 3 Char"/>
    <w:aliases w:val="HSAG Heading 3 Char"/>
    <w:basedOn w:val="DefaultParagraphFont"/>
    <w:link w:val="Heading3"/>
    <w:uiPriority w:val="9"/>
    <w:rsid w:val="005F3C72"/>
    <w:rPr>
      <w:rFonts w:ascii="Calibri" w:eastAsiaTheme="majorEastAsia" w:hAnsi="Calibri" w:cstheme="majorBidi"/>
      <w:b/>
      <w:bCs/>
      <w:i/>
      <w:color w:val="00549E" w:themeColor="text2"/>
      <w:sz w:val="28"/>
    </w:rPr>
  </w:style>
  <w:style w:type="paragraph" w:styleId="NoSpacing">
    <w:name w:val="No Spacing"/>
    <w:link w:val="NoSpacingChar"/>
    <w:uiPriority w:val="1"/>
    <w:qFormat/>
    <w:rsid w:val="00DA28E6"/>
    <w:pPr>
      <w:spacing w:after="0" w:line="240" w:lineRule="auto"/>
    </w:pPr>
    <w:rPr>
      <w:rFonts w:ascii="Times New Roman" w:hAnsi="Times New Roman"/>
    </w:rPr>
  </w:style>
  <w:style w:type="character" w:customStyle="1" w:styleId="Heading4Char">
    <w:name w:val="Heading 4 Char"/>
    <w:aliases w:val="HSAG Heading 4 Char"/>
    <w:basedOn w:val="DefaultParagraphFont"/>
    <w:link w:val="Heading4"/>
    <w:uiPriority w:val="9"/>
    <w:rsid w:val="00BA607F"/>
    <w:rPr>
      <w:rFonts w:ascii="Calibri" w:hAnsi="Calibri"/>
      <w:b/>
      <w:color w:val="00549E" w:themeColor="text2"/>
      <w:sz w:val="2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rsid w:val="00015252"/>
    <w:rPr>
      <w:rFonts w:ascii="Calibri" w:eastAsiaTheme="majorEastAsia" w:hAnsi="Calibri" w:cstheme="majorBidi"/>
      <w:i/>
      <w:iCs/>
    </w:rPr>
  </w:style>
  <w:style w:type="paragraph" w:customStyle="1" w:styleId="HSAGBullets">
    <w:name w:val="HSAG Bullets"/>
    <w:basedOn w:val="Normal"/>
    <w:qFormat/>
    <w:rsid w:val="007016AB"/>
    <w:pPr>
      <w:numPr>
        <w:numId w:val="1"/>
      </w:numPr>
      <w:spacing w:before="60" w:after="60"/>
      <w:ind w:left="360"/>
    </w:pPr>
    <w:rPr>
      <w:rFonts w:eastAsia="Times New Roman" w:cs="Times New Roman"/>
    </w:rPr>
  </w:style>
  <w:style w:type="paragraph" w:customStyle="1" w:styleId="HSAGBullets2">
    <w:name w:val="HSAG Bullets 2"/>
    <w:basedOn w:val="HSAGBullets"/>
    <w:qFormat/>
    <w:rsid w:val="00D05CD1"/>
    <w:pPr>
      <w:numPr>
        <w:numId w:val="2"/>
      </w:numPr>
      <w:ind w:left="720"/>
    </w:pPr>
  </w:style>
  <w:style w:type="paragraph" w:customStyle="1" w:styleId="HSAGNumbers">
    <w:name w:val="HSAG Numbers"/>
    <w:basedOn w:val="HSAGBullets"/>
    <w:qFormat/>
    <w:rsid w:val="00DA0703"/>
    <w:pPr>
      <w:numPr>
        <w:numId w:val="3"/>
      </w:numPr>
      <w:ind w:left="360"/>
    </w:pPr>
    <w:rPr>
      <w:sz w:val="22"/>
    </w:rPr>
  </w:style>
  <w:style w:type="paragraph" w:customStyle="1" w:styleId="HSAGNumbers2">
    <w:name w:val="HSAG Numbers 2"/>
    <w:basedOn w:val="HSAGBullets2"/>
    <w:qFormat/>
    <w:rsid w:val="00D05CD1"/>
    <w:pPr>
      <w:numPr>
        <w:numId w:val="4"/>
      </w:numPr>
      <w:ind w:left="720"/>
    </w:pPr>
  </w:style>
  <w:style w:type="paragraph" w:customStyle="1" w:styleId="HSAGTableText">
    <w:name w:val="HSAG Table Text"/>
    <w:basedOn w:val="Normal"/>
    <w:qFormat/>
    <w:rsid w:val="00B85AFB"/>
    <w:pPr>
      <w:spacing w:before="60" w:after="60"/>
    </w:pPr>
    <w:rPr>
      <w:rFonts w:cs="Times New Roman"/>
      <w:color w:val="000000" w:themeColor="text1"/>
      <w:sz w:val="22"/>
      <w:szCs w:val="20"/>
    </w:rPr>
  </w:style>
  <w:style w:type="paragraph" w:customStyle="1" w:styleId="HSAGTableHeading">
    <w:name w:val="HSAG Table Heading"/>
    <w:qFormat/>
    <w:rsid w:val="00DA3695"/>
    <w:pPr>
      <w:tabs>
        <w:tab w:val="left" w:pos="2205"/>
      </w:tabs>
      <w:spacing w:before="60" w:after="60" w:line="240" w:lineRule="auto"/>
    </w:pPr>
    <w:rPr>
      <w:rFonts w:ascii="Calibri" w:eastAsia="Times New Roman" w:hAnsi="Calibri" w:cstheme="majorBidi"/>
      <w:b/>
      <w:bCs/>
      <w:color w:val="FFFFFF" w:themeColor="background1"/>
    </w:rPr>
  </w:style>
  <w:style w:type="paragraph" w:customStyle="1" w:styleId="HSAGPageTitle1">
    <w:name w:val="HSAG Page Title 1"/>
    <w:basedOn w:val="Heading1"/>
    <w:rsid w:val="00C94883"/>
    <w:rPr>
      <w:sz w:val="56"/>
    </w:rPr>
  </w:style>
  <w:style w:type="paragraph" w:customStyle="1" w:styleId="HSAGPageTitle2">
    <w:name w:val="HSAG Page Title 2"/>
    <w:basedOn w:val="HSAGPageTitle1"/>
    <w:rsid w:val="00C94883"/>
    <w:rPr>
      <w:b w:val="0"/>
      <w:i/>
      <w:sz w:val="44"/>
    </w:rPr>
  </w:style>
  <w:style w:type="paragraph" w:customStyle="1" w:styleId="HSAGPageTitle3">
    <w:name w:val="HSAG Page Title 3"/>
    <w:basedOn w:val="HSAGPageTitle2"/>
    <w:rsid w:val="00C94883"/>
    <w:rPr>
      <w:rFonts w:ascii="Times New Roman" w:hAnsi="Times New Roman"/>
      <w:i w:val="0"/>
      <w:sz w:val="24"/>
    </w:rPr>
  </w:style>
  <w:style w:type="paragraph" w:customStyle="1" w:styleId="HSAGCoverPage1">
    <w:name w:val="HSAG Cover Page 1"/>
    <w:qFormat/>
    <w:rsid w:val="00E11969"/>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E11969"/>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DA28E6"/>
    <w:rPr>
      <w:rFonts w:ascii="Times New Roman" w:hAnsi="Times New Roman"/>
      <w:i w:val="0"/>
      <w:sz w:val="24"/>
    </w:rPr>
  </w:style>
  <w:style w:type="paragraph" w:customStyle="1" w:styleId="HSAGDocumentTitle">
    <w:name w:val="HSAG Document Title"/>
    <w:qFormat/>
    <w:rsid w:val="00E11969"/>
    <w:pPr>
      <w:jc w:val="center"/>
    </w:pPr>
    <w:rPr>
      <w:rFonts w:ascii="Calibri" w:eastAsia="Times New Roman" w:hAnsi="Calibri" w:cs="Arial"/>
      <w:b/>
      <w:bCs/>
      <w:kern w:val="32"/>
      <w:sz w:val="44"/>
      <w:szCs w:val="32"/>
    </w:rPr>
  </w:style>
  <w:style w:type="paragraph" w:customStyle="1" w:styleId="ProposalHeading1">
    <w:name w:val="Proposal Heading 1"/>
    <w:basedOn w:val="Heading1"/>
    <w:link w:val="ProposalHeading1Char"/>
    <w:qFormat/>
    <w:rsid w:val="00DA28E6"/>
    <w:pPr>
      <w:spacing w:before="480" w:after="240"/>
    </w:pPr>
    <w:rPr>
      <w:smallCaps/>
    </w:rPr>
  </w:style>
  <w:style w:type="character" w:customStyle="1" w:styleId="ProposalHeading1Char">
    <w:name w:val="Proposal Heading 1 Char"/>
    <w:basedOn w:val="Heading1Char"/>
    <w:link w:val="ProposalHeading1"/>
    <w:rsid w:val="00DA28E6"/>
    <w:rPr>
      <w:rFonts w:ascii="Calibri" w:eastAsia="Times New Roman" w:hAnsi="Calibri" w:cs="Arial"/>
      <w:b/>
      <w:bCs/>
      <w:smallCaps/>
      <w:color w:val="FFFFFF"/>
      <w:kern w:val="32"/>
      <w:sz w:val="32"/>
      <w:szCs w:val="32"/>
      <w:shd w:val="clear" w:color="auto" w:fill="00549E" w:themeFill="text2"/>
    </w:rPr>
  </w:style>
  <w:style w:type="paragraph" w:customStyle="1" w:styleId="ProposalHeading2">
    <w:name w:val="Proposal Heading 2"/>
    <w:basedOn w:val="Heading2"/>
    <w:link w:val="ProposalHeading2Char"/>
    <w:qFormat/>
    <w:rsid w:val="00DA28E6"/>
    <w:pPr>
      <w:spacing w:before="200" w:after="160"/>
    </w:pPr>
    <w:rPr>
      <w:smallCaps/>
    </w:rPr>
  </w:style>
  <w:style w:type="character" w:customStyle="1" w:styleId="ProposalHeading2Char">
    <w:name w:val="Proposal Heading 2 Char"/>
    <w:basedOn w:val="Heading2Char"/>
    <w:link w:val="ProposalHeading2"/>
    <w:rsid w:val="00DA28E6"/>
    <w:rPr>
      <w:rFonts w:ascii="Calibri" w:hAnsi="Calibri"/>
      <w:b/>
      <w:smallCaps/>
      <w:color w:val="00549E" w:themeColor="text2"/>
      <w:sz w:val="32"/>
      <w:szCs w:val="28"/>
    </w:rPr>
  </w:style>
  <w:style w:type="paragraph" w:customStyle="1" w:styleId="ProposalHeading3">
    <w:name w:val="Proposal Heading 3"/>
    <w:basedOn w:val="Heading3"/>
    <w:link w:val="ProposalHeading3Char"/>
    <w:qFormat/>
    <w:rsid w:val="00DA28E6"/>
    <w:pPr>
      <w:spacing w:before="160" w:after="120"/>
    </w:pPr>
    <w:rPr>
      <w:smallCaps/>
    </w:rPr>
  </w:style>
  <w:style w:type="character" w:customStyle="1" w:styleId="ProposalHeading3Char">
    <w:name w:val="Proposal Heading 3 Char"/>
    <w:basedOn w:val="Heading3Char"/>
    <w:link w:val="ProposalHeading3"/>
    <w:rsid w:val="00DA28E6"/>
    <w:rPr>
      <w:rFonts w:ascii="Calibri" w:eastAsiaTheme="majorEastAsia" w:hAnsi="Calibri" w:cstheme="majorBidi"/>
      <w:b/>
      <w:bCs/>
      <w:i/>
      <w:smallCaps/>
      <w:color w:val="00549E" w:themeColor="text2"/>
      <w:sz w:val="28"/>
    </w:rPr>
  </w:style>
  <w:style w:type="paragraph" w:customStyle="1" w:styleId="ProposalHeading4">
    <w:name w:val="Proposal Heading 4"/>
    <w:basedOn w:val="Heading4"/>
    <w:link w:val="ProposalHeading4Char"/>
    <w:qFormat/>
    <w:rsid w:val="00BA607F"/>
    <w:pPr>
      <w:spacing w:before="120"/>
    </w:pPr>
    <w:rPr>
      <w:rFonts w:eastAsiaTheme="majorEastAsia" w:cstheme="majorBidi"/>
      <w:smallCaps/>
    </w:rPr>
  </w:style>
  <w:style w:type="character" w:customStyle="1" w:styleId="ProposalHeading4Char">
    <w:name w:val="Proposal Heading 4 Char"/>
    <w:basedOn w:val="Heading4Char"/>
    <w:link w:val="ProposalHeading4"/>
    <w:rsid w:val="00BA607F"/>
    <w:rPr>
      <w:rFonts w:ascii="Calibri" w:eastAsiaTheme="majorEastAsia" w:hAnsi="Calibri" w:cstheme="majorBidi"/>
      <w:b/>
      <w:smallCaps/>
      <w:color w:val="00549E" w:themeColor="text2"/>
      <w:sz w:val="24"/>
    </w:rPr>
  </w:style>
  <w:style w:type="character" w:customStyle="1" w:styleId="Heading8Char">
    <w:name w:val="Heading 8 Char"/>
    <w:basedOn w:val="DefaultParagraphFont"/>
    <w:link w:val="Heading8"/>
    <w:uiPriority w:val="9"/>
    <w:rsid w:val="00DA28E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A28E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nhideWhenUsed/>
    <w:qFormat/>
    <w:rsid w:val="00DA28E6"/>
    <w:pPr>
      <w:spacing w:after="200"/>
    </w:pPr>
    <w:rPr>
      <w:b/>
      <w:bCs/>
      <w:color w:val="61A2D8" w:themeColor="accent1"/>
      <w:sz w:val="18"/>
      <w:szCs w:val="18"/>
    </w:rPr>
  </w:style>
  <w:style w:type="character" w:styleId="Strong">
    <w:name w:val="Strong"/>
    <w:qFormat/>
    <w:rsid w:val="00DA28E6"/>
    <w:rPr>
      <w:b/>
      <w:bCs/>
    </w:rPr>
  </w:style>
  <w:style w:type="character" w:customStyle="1" w:styleId="NoSpacingChar">
    <w:name w:val="No Spacing Char"/>
    <w:basedOn w:val="DefaultParagraphFont"/>
    <w:link w:val="NoSpacing"/>
    <w:uiPriority w:val="1"/>
    <w:rsid w:val="00DA28E6"/>
    <w:rPr>
      <w:rFonts w:ascii="Times New Roman" w:hAnsi="Times New Roman"/>
    </w:rPr>
  </w:style>
  <w:style w:type="paragraph" w:styleId="TOCHeading">
    <w:name w:val="TOC Heading"/>
    <w:basedOn w:val="Heading1"/>
    <w:next w:val="Normal"/>
    <w:uiPriority w:val="39"/>
    <w:unhideWhenUsed/>
    <w:qFormat/>
    <w:rsid w:val="00DA28E6"/>
    <w:pPr>
      <w:keepLines/>
      <w:spacing w:before="480"/>
      <w:outlineLvl w:val="9"/>
    </w:pPr>
    <w:rPr>
      <w:rFonts w:asciiTheme="majorHAnsi" w:eastAsiaTheme="majorEastAsia" w:hAnsiTheme="majorHAnsi" w:cstheme="majorBidi"/>
      <w:bCs w:val="0"/>
      <w:color w:val="2E7BBB" w:themeColor="accent1" w:themeShade="BF"/>
      <w:sz w:val="28"/>
      <w:szCs w:val="28"/>
    </w:rPr>
  </w:style>
  <w:style w:type="table" w:styleId="TableGridLight">
    <w:name w:val="Grid Table Light"/>
    <w:basedOn w:val="TableNormal"/>
    <w:uiPriority w:val="40"/>
    <w:rsid w:val="00C208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3E0F69"/>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D05CD1"/>
    <w:pPr>
      <w:numPr>
        <w:ilvl w:val="1"/>
      </w:numPr>
      <w:ind w:left="1080"/>
    </w:pPr>
  </w:style>
  <w:style w:type="paragraph" w:customStyle="1" w:styleId="HSAGTableBullet1">
    <w:name w:val="HSAG Table Bullet 1"/>
    <w:basedOn w:val="HSAGTableText"/>
    <w:qFormat/>
    <w:rsid w:val="00D65058"/>
    <w:pPr>
      <w:numPr>
        <w:numId w:val="6"/>
      </w:numPr>
      <w:ind w:left="247" w:hanging="247"/>
    </w:pPr>
    <w:rPr>
      <w:szCs w:val="22"/>
    </w:rPr>
  </w:style>
  <w:style w:type="paragraph" w:customStyle="1" w:styleId="HSAGTableBullet2">
    <w:name w:val="HSAG Table Bullet 2"/>
    <w:basedOn w:val="HSAGTableBullet1"/>
    <w:qFormat/>
    <w:rsid w:val="00D65058"/>
    <w:pPr>
      <w:numPr>
        <w:numId w:val="7"/>
      </w:numPr>
    </w:pPr>
  </w:style>
  <w:style w:type="character" w:customStyle="1" w:styleId="HP-Style">
    <w:name w:val="HP-Style"/>
    <w:rsid w:val="00D65058"/>
    <w:rPr>
      <w:b/>
      <w:color w:val="00549E" w:themeColor="text2"/>
    </w:rPr>
  </w:style>
  <w:style w:type="paragraph" w:customStyle="1" w:styleId="ToolHeader">
    <w:name w:val="Tool Header"/>
    <w:qFormat/>
    <w:rsid w:val="006D0718"/>
    <w:pPr>
      <w:spacing w:after="0" w:line="240" w:lineRule="auto"/>
      <w:jc w:val="center"/>
    </w:pPr>
    <w:rPr>
      <w:rFonts w:ascii="Calibri" w:eastAsiaTheme="majorEastAsia" w:hAnsi="Calibri" w:cstheme="majorBidi"/>
      <w:b/>
      <w:bCs/>
      <w:color w:val="00549E" w:themeColor="text2"/>
      <w:sz w:val="28"/>
    </w:rPr>
  </w:style>
  <w:style w:type="paragraph" w:styleId="TOC1">
    <w:name w:val="toc 1"/>
    <w:basedOn w:val="Normal"/>
    <w:next w:val="Normal"/>
    <w:autoRedefine/>
    <w:uiPriority w:val="99"/>
    <w:unhideWhenUsed/>
    <w:rsid w:val="002D3A64"/>
    <w:pPr>
      <w:shd w:val="clear" w:color="auto" w:fill="DFECF7"/>
      <w:tabs>
        <w:tab w:val="left" w:pos="440"/>
        <w:tab w:val="right" w:leader="dot" w:pos="12960"/>
      </w:tabs>
      <w:spacing w:before="120" w:after="0"/>
    </w:pPr>
    <w:rPr>
      <w:b/>
      <w:noProof/>
    </w:rPr>
  </w:style>
  <w:style w:type="paragraph" w:styleId="TOC2">
    <w:name w:val="toc 2"/>
    <w:basedOn w:val="Normal"/>
    <w:next w:val="Normal"/>
    <w:autoRedefine/>
    <w:uiPriority w:val="39"/>
    <w:unhideWhenUsed/>
    <w:rsid w:val="002D3A64"/>
    <w:pPr>
      <w:tabs>
        <w:tab w:val="right" w:leader="dot" w:pos="12960"/>
      </w:tabs>
      <w:spacing w:before="0" w:after="0"/>
      <w:ind w:left="450"/>
    </w:pPr>
    <w:rPr>
      <w:noProof/>
    </w:rPr>
  </w:style>
  <w:style w:type="paragraph" w:styleId="TOC3">
    <w:name w:val="toc 3"/>
    <w:basedOn w:val="Normal"/>
    <w:next w:val="Normal"/>
    <w:autoRedefine/>
    <w:uiPriority w:val="39"/>
    <w:unhideWhenUsed/>
    <w:rsid w:val="002D3A64"/>
    <w:pPr>
      <w:tabs>
        <w:tab w:val="right" w:leader="dot" w:pos="12950"/>
      </w:tabs>
      <w:spacing w:before="0" w:after="0"/>
      <w:ind w:left="806"/>
    </w:pPr>
    <w:rPr>
      <w:noProof/>
    </w:rPr>
  </w:style>
  <w:style w:type="character" w:styleId="Hyperlink">
    <w:name w:val="Hyperlink"/>
    <w:basedOn w:val="DefaultParagraphFont"/>
    <w:unhideWhenUsed/>
    <w:rsid w:val="006E3B6F"/>
    <w:rPr>
      <w:color w:val="0000FF" w:themeColor="hyperlink"/>
      <w:u w:val="single"/>
    </w:rPr>
  </w:style>
  <w:style w:type="paragraph" w:customStyle="1" w:styleId="TableNumber1">
    <w:name w:val="Table Number 1"/>
    <w:basedOn w:val="Normal"/>
    <w:qFormat/>
    <w:rsid w:val="008000BC"/>
    <w:pPr>
      <w:numPr>
        <w:numId w:val="8"/>
      </w:numPr>
      <w:autoSpaceDE w:val="0"/>
      <w:autoSpaceDN w:val="0"/>
      <w:adjustRightInd w:val="0"/>
      <w:spacing w:before="60" w:after="60"/>
    </w:pPr>
    <w:rPr>
      <w:rFonts w:eastAsia="Calibri"/>
      <w:sz w:val="22"/>
    </w:rPr>
  </w:style>
  <w:style w:type="numbering" w:customStyle="1" w:styleId="NoList1">
    <w:name w:val="No List1"/>
    <w:next w:val="NoList"/>
    <w:uiPriority w:val="99"/>
    <w:semiHidden/>
    <w:unhideWhenUsed/>
    <w:rsid w:val="00B13ACB"/>
  </w:style>
  <w:style w:type="table" w:customStyle="1" w:styleId="TableGrid1">
    <w:name w:val="Table Grid1"/>
    <w:basedOn w:val="TableNormal"/>
    <w:next w:val="TableGrid"/>
    <w:rsid w:val="00B13A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B13ACB"/>
    <w:pPr>
      <w:numPr>
        <w:numId w:val="9"/>
      </w:numPr>
      <w:spacing w:before="0" w:after="0"/>
    </w:pPr>
    <w:rPr>
      <w:rFonts w:eastAsia="Times New Roman" w:cs="Times New Roman"/>
      <w:szCs w:val="24"/>
    </w:rPr>
  </w:style>
  <w:style w:type="paragraph" w:styleId="HTMLPreformatted">
    <w:name w:val="HTML Preformatted"/>
    <w:basedOn w:val="Normal"/>
    <w:link w:val="HTMLPreformattedChar"/>
    <w:uiPriority w:val="99"/>
    <w:rsid w:val="00B1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3ACB"/>
    <w:rPr>
      <w:rFonts w:ascii="Courier New" w:eastAsia="Times New Roman" w:hAnsi="Courier New" w:cs="Courier New"/>
      <w:sz w:val="20"/>
      <w:szCs w:val="20"/>
    </w:rPr>
  </w:style>
  <w:style w:type="paragraph" w:styleId="BodyText">
    <w:name w:val="Body Text"/>
    <w:basedOn w:val="Normal"/>
    <w:link w:val="BodyTextChar"/>
    <w:uiPriority w:val="99"/>
    <w:qFormat/>
    <w:rsid w:val="00B13ACB"/>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B13ACB"/>
    <w:rPr>
      <w:rFonts w:ascii="Arial" w:eastAsia="Times New Roman" w:hAnsi="Arial" w:cs="Times New Roman"/>
      <w:color w:val="000000"/>
      <w:sz w:val="14"/>
      <w:szCs w:val="20"/>
    </w:rPr>
  </w:style>
  <w:style w:type="paragraph" w:customStyle="1" w:styleId="TableBullet-1">
    <w:name w:val="TableBullet-1"/>
    <w:basedOn w:val="Normal"/>
    <w:uiPriority w:val="99"/>
    <w:rsid w:val="00B13ACB"/>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B13ACB"/>
  </w:style>
  <w:style w:type="paragraph" w:customStyle="1" w:styleId="Style1">
    <w:name w:val="Style1"/>
    <w:basedOn w:val="Heading6"/>
    <w:uiPriority w:val="99"/>
    <w:rsid w:val="00B13ACB"/>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aliases w:val="F1"/>
    <w:basedOn w:val="Normal"/>
    <w:link w:val="FootnoteTextChar"/>
    <w:uiPriority w:val="99"/>
    <w:rsid w:val="00B13ACB"/>
    <w:pPr>
      <w:spacing w:before="0" w:after="0"/>
    </w:pPr>
    <w:rPr>
      <w:rFonts w:eastAsia="Times New Roman" w:cs="Times New Roman"/>
      <w:sz w:val="20"/>
      <w:szCs w:val="20"/>
    </w:rPr>
  </w:style>
  <w:style w:type="character" w:customStyle="1" w:styleId="FootnoteTextChar">
    <w:name w:val="Footnote Text Char"/>
    <w:aliases w:val="F1 Char"/>
    <w:basedOn w:val="DefaultParagraphFont"/>
    <w:link w:val="FootnoteText"/>
    <w:uiPriority w:val="99"/>
    <w:rsid w:val="00B13ACB"/>
    <w:rPr>
      <w:rFonts w:ascii="Times New Roman" w:eastAsia="Times New Roman" w:hAnsi="Times New Roman" w:cs="Times New Roman"/>
      <w:sz w:val="20"/>
      <w:szCs w:val="20"/>
    </w:rPr>
  </w:style>
  <w:style w:type="character" w:styleId="CommentReference">
    <w:name w:val="annotation reference"/>
    <w:rsid w:val="00B13ACB"/>
    <w:rPr>
      <w:sz w:val="16"/>
      <w:szCs w:val="16"/>
    </w:rPr>
  </w:style>
  <w:style w:type="paragraph" w:styleId="CommentText">
    <w:name w:val="annotation text"/>
    <w:basedOn w:val="Normal"/>
    <w:link w:val="CommentTextChar"/>
    <w:uiPriority w:val="99"/>
    <w:rsid w:val="00B13ACB"/>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B13A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13ACB"/>
    <w:rPr>
      <w:b/>
      <w:bCs/>
    </w:rPr>
  </w:style>
  <w:style w:type="character" w:customStyle="1" w:styleId="CommentSubjectChar">
    <w:name w:val="Comment Subject Char"/>
    <w:basedOn w:val="CommentTextChar"/>
    <w:link w:val="CommentSubject"/>
    <w:uiPriority w:val="99"/>
    <w:semiHidden/>
    <w:rsid w:val="00B13ACB"/>
    <w:rPr>
      <w:rFonts w:ascii="Times New Roman" w:eastAsia="Times New Roman" w:hAnsi="Times New Roman" w:cs="Times New Roman"/>
      <w:b/>
      <w:bCs/>
      <w:sz w:val="20"/>
      <w:szCs w:val="20"/>
    </w:rPr>
  </w:style>
  <w:style w:type="character" w:customStyle="1" w:styleId="CaptionChar">
    <w:name w:val="Caption Char"/>
    <w:link w:val="Caption"/>
    <w:rsid w:val="00B13ACB"/>
    <w:rPr>
      <w:rFonts w:ascii="Times New Roman" w:hAnsi="Times New Roman"/>
      <w:b/>
      <w:bCs/>
      <w:color w:val="61A2D8" w:themeColor="accent1"/>
      <w:sz w:val="18"/>
      <w:szCs w:val="18"/>
    </w:rPr>
  </w:style>
  <w:style w:type="paragraph" w:customStyle="1" w:styleId="TableText-1L">
    <w:name w:val="TableText-1L"/>
    <w:basedOn w:val="Normal"/>
    <w:uiPriority w:val="99"/>
    <w:rsid w:val="00B13ACB"/>
    <w:pPr>
      <w:spacing w:before="40" w:after="20"/>
    </w:pPr>
    <w:rPr>
      <w:rFonts w:eastAsia="Times New Roman" w:cs="Times New Roman"/>
      <w:sz w:val="22"/>
      <w:szCs w:val="24"/>
    </w:rPr>
  </w:style>
  <w:style w:type="character" w:customStyle="1" w:styleId="apple-converted-space">
    <w:name w:val="apple-converted-space"/>
    <w:rsid w:val="00B13ACB"/>
  </w:style>
  <w:style w:type="character" w:styleId="FollowedHyperlink">
    <w:name w:val="FollowedHyperlink"/>
    <w:rsid w:val="00B13ACB"/>
    <w:rPr>
      <w:color w:val="800080"/>
      <w:u w:val="single"/>
    </w:rPr>
  </w:style>
  <w:style w:type="character" w:customStyle="1" w:styleId="hilite">
    <w:name w:val="hilite"/>
    <w:rsid w:val="00B13ACB"/>
  </w:style>
  <w:style w:type="character" w:customStyle="1" w:styleId="treeitemselected">
    <w:name w:val="treeitemselected"/>
    <w:rsid w:val="00B13ACB"/>
  </w:style>
  <w:style w:type="paragraph" w:styleId="ListBullet">
    <w:name w:val="List Bullet"/>
    <w:basedOn w:val="Normal"/>
    <w:uiPriority w:val="99"/>
    <w:qFormat/>
    <w:rsid w:val="00B13ACB"/>
    <w:pPr>
      <w:numPr>
        <w:numId w:val="11"/>
      </w:numPr>
      <w:spacing w:before="40" w:after="20"/>
    </w:pPr>
    <w:rPr>
      <w:rFonts w:eastAsia="Times New Roman" w:cs="Times New Roman"/>
      <w:sz w:val="22"/>
      <w:szCs w:val="24"/>
    </w:rPr>
  </w:style>
  <w:style w:type="paragraph" w:styleId="Revision">
    <w:name w:val="Revision"/>
    <w:hidden/>
    <w:uiPriority w:val="99"/>
    <w:semiHidden/>
    <w:rsid w:val="00B13ACB"/>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B13ACB"/>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B13ACB"/>
    <w:pPr>
      <w:spacing w:before="0" w:after="0"/>
    </w:pPr>
    <w:rPr>
      <w:rFonts w:ascii="Arial" w:eastAsia="Times New Roman" w:hAnsi="Arial" w:cs="Times New Roman"/>
      <w:sz w:val="4"/>
      <w:szCs w:val="20"/>
    </w:rPr>
  </w:style>
  <w:style w:type="paragraph" w:customStyle="1" w:styleId="Default">
    <w:name w:val="Default"/>
    <w:uiPriority w:val="99"/>
    <w:rsid w:val="00B13ACB"/>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B13ACB"/>
    <w:pPr>
      <w:tabs>
        <w:tab w:val="right" w:pos="14400"/>
      </w:tabs>
      <w:spacing w:before="0" w:after="0"/>
      <w:ind w:left="4320"/>
    </w:pPr>
    <w:rPr>
      <w:rFonts w:ascii="Arial Rounded MT Bold" w:eastAsia="Times New Roman" w:hAnsi="Arial Rounded MT Bold" w:cs="Times New Roman"/>
      <w:color w:val="003366"/>
      <w:sz w:val="22"/>
      <w:szCs w:val="24"/>
      <w14:shadow w14:blurRad="50800" w14:dist="38100" w14:dir="2700000" w14:sx="100000" w14:sy="100000" w14:kx="0" w14:ky="0" w14:algn="tl">
        <w14:srgbClr w14:val="000000">
          <w14:alpha w14:val="60000"/>
        </w14:srgbClr>
      </w14:shadow>
    </w:rPr>
  </w:style>
  <w:style w:type="paragraph" w:customStyle="1" w:styleId="ProcessDash">
    <w:name w:val="Process Dash"/>
    <w:basedOn w:val="Normal"/>
    <w:uiPriority w:val="99"/>
    <w:rsid w:val="00B13ACB"/>
    <w:pPr>
      <w:numPr>
        <w:numId w:val="10"/>
      </w:numPr>
      <w:spacing w:before="60" w:after="0"/>
      <w:ind w:left="432" w:hanging="216"/>
    </w:pPr>
    <w:rPr>
      <w:rFonts w:eastAsia="Times New Roman" w:cs="Times New Roman"/>
      <w:sz w:val="22"/>
      <w:szCs w:val="20"/>
    </w:rPr>
  </w:style>
  <w:style w:type="character" w:customStyle="1" w:styleId="AppendixFont">
    <w:name w:val="Appendix Font"/>
    <w:rsid w:val="00B13ACB"/>
    <w:rPr>
      <w:rFonts w:ascii="Tempus Sans ITC" w:hAnsi="Tempus Sans ITC" w:cs="Times New Roman"/>
      <w:b/>
      <w:i/>
      <w:color w:val="003366"/>
      <w14:shadow w14:blurRad="50800" w14:dist="38100" w14:dir="2700000" w14:sx="100000" w14:sy="100000" w14:kx="0" w14:ky="0" w14:algn="tl">
        <w14:srgbClr w14:val="000000">
          <w14:alpha w14:val="60000"/>
        </w14:srgbClr>
      </w14:shadow>
    </w:rPr>
  </w:style>
  <w:style w:type="character" w:customStyle="1" w:styleId="TEENSY-SPACEChar">
    <w:name w:val="TEENSY-SPACE Char"/>
    <w:link w:val="TEENSY-SPACE"/>
    <w:locked/>
    <w:rsid w:val="00B13ACB"/>
    <w:rPr>
      <w:rFonts w:ascii="Arial" w:eastAsia="Times New Roman" w:hAnsi="Arial" w:cs="Times New Roman"/>
      <w:sz w:val="4"/>
      <w:szCs w:val="20"/>
    </w:rPr>
  </w:style>
  <w:style w:type="paragraph" w:customStyle="1" w:styleId="Footer-Landscape">
    <w:name w:val="Footer-Landscape"/>
    <w:basedOn w:val="Footer"/>
    <w:rsid w:val="00B13ACB"/>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B13ACB"/>
    <w:rPr>
      <w:i/>
      <w:iCs/>
    </w:rPr>
  </w:style>
  <w:style w:type="paragraph" w:customStyle="1" w:styleId="Heading">
    <w:name w:val="Heading"/>
    <w:basedOn w:val="Normal"/>
    <w:uiPriority w:val="99"/>
    <w:rsid w:val="00B13ACB"/>
    <w:pPr>
      <w:spacing w:before="0" w:after="0"/>
      <w:jc w:val="center"/>
    </w:pPr>
    <w:rPr>
      <w:rFonts w:ascii="Arial Rounded MT Bold" w:eastAsia="Times New Roman" w:hAnsi="Arial Rounded MT Bold" w:cs="Times New Roman"/>
      <w:color w:val="003366"/>
      <w:szCs w:val="20"/>
      <w14:shadow w14:blurRad="50800" w14:dist="38100" w14:dir="2700000" w14:sx="100000" w14:sy="100000" w14:kx="0" w14:ky="0" w14:algn="tl">
        <w14:srgbClr w14:val="000000">
          <w14:alpha w14:val="60000"/>
        </w14:srgbClr>
      </w14:shadow>
    </w:rPr>
  </w:style>
  <w:style w:type="paragraph" w:customStyle="1" w:styleId="Header-Landscape">
    <w:name w:val="Header-Landscape"/>
    <w:basedOn w:val="Header"/>
    <w:uiPriority w:val="99"/>
    <w:rsid w:val="00B13ACB"/>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14:shadow w14:blurRad="50800" w14:dist="38100" w14:dir="2700000" w14:sx="100000" w14:sy="100000" w14:kx="0" w14:ky="0" w14:algn="tl">
        <w14:srgbClr w14:val="000000">
          <w14:alpha w14:val="60000"/>
        </w14:srgbClr>
      </w14:shadow>
    </w:rPr>
  </w:style>
  <w:style w:type="paragraph" w:styleId="ListParagraph">
    <w:name w:val="List Paragraph"/>
    <w:aliases w:val="Scope of Services,Bull2,Numbering,Figure_name,List Paragraph1,Bullet- First level,numbered,FooterText,Alpha List Paragraph,Style 2,L1,Bullets"/>
    <w:basedOn w:val="Normal"/>
    <w:link w:val="ListParagraphChar"/>
    <w:uiPriority w:val="34"/>
    <w:qFormat/>
    <w:rsid w:val="00B13ACB"/>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F76CB1"/>
    <w:pPr>
      <w:spacing w:before="40" w:after="40"/>
      <w:jc w:val="right"/>
    </w:pPr>
    <w:rPr>
      <w:sz w:val="18"/>
    </w:rPr>
  </w:style>
  <w:style w:type="paragraph" w:customStyle="1" w:styleId="HSAGAlphaBullet2">
    <w:name w:val="HSAG Alpha Bullet 2"/>
    <w:basedOn w:val="Normal"/>
    <w:qFormat/>
    <w:rsid w:val="00A4660F"/>
    <w:pPr>
      <w:numPr>
        <w:numId w:val="12"/>
      </w:numPr>
      <w:spacing w:before="60" w:after="60"/>
    </w:pPr>
    <w:rPr>
      <w:rFonts w:eastAsia="Times New Roman" w:cs="Times New Roman"/>
      <w:sz w:val="22"/>
    </w:rPr>
  </w:style>
  <w:style w:type="paragraph" w:customStyle="1" w:styleId="Contract-para-nr">
    <w:name w:val="Contract-para-nr"/>
    <w:basedOn w:val="Normal"/>
    <w:rsid w:val="009B5E21"/>
    <w:pPr>
      <w:spacing w:before="0" w:after="0"/>
      <w:jc w:val="right"/>
    </w:pPr>
    <w:rPr>
      <w:rFonts w:eastAsia="Times New Roman" w:cs="Times New Roman"/>
      <w:sz w:val="18"/>
      <w:szCs w:val="24"/>
    </w:rPr>
  </w:style>
  <w:style w:type="character" w:customStyle="1" w:styleId="ListNoNumChar">
    <w:name w:val="ListNoNum Char"/>
    <w:rsid w:val="009B5E21"/>
    <w:rPr>
      <w:sz w:val="22"/>
      <w:szCs w:val="24"/>
      <w:lang w:val="en-US" w:eastAsia="en-US" w:bidi="ar-SA"/>
    </w:rPr>
  </w:style>
  <w:style w:type="paragraph" w:customStyle="1" w:styleId="ListNoNum-2">
    <w:name w:val="ListNoNum-2"/>
    <w:basedOn w:val="Normal"/>
    <w:link w:val="ListNoNum-2Char1"/>
    <w:rsid w:val="004049B7"/>
    <w:pPr>
      <w:tabs>
        <w:tab w:val="left" w:pos="720"/>
      </w:tabs>
      <w:spacing w:before="20" w:after="20"/>
      <w:ind w:left="720" w:hanging="360"/>
    </w:pPr>
    <w:rPr>
      <w:rFonts w:eastAsia="Times New Roman" w:cs="Times New Roman"/>
      <w:sz w:val="22"/>
      <w:szCs w:val="24"/>
    </w:rPr>
  </w:style>
  <w:style w:type="character" w:customStyle="1" w:styleId="ListNoNum-2Char1">
    <w:name w:val="ListNoNum-2 Char1"/>
    <w:basedOn w:val="DefaultParagraphFont"/>
    <w:link w:val="ListNoNum-2"/>
    <w:rsid w:val="004049B7"/>
    <w:rPr>
      <w:rFonts w:ascii="Times New Roman" w:eastAsia="Times New Roman" w:hAnsi="Times New Roman" w:cs="Times New Roman"/>
      <w:szCs w:val="24"/>
    </w:rPr>
  </w:style>
  <w:style w:type="paragraph" w:customStyle="1" w:styleId="TableL-TNR10-B">
    <w:name w:val="Table_L-TNR10-B"/>
    <w:basedOn w:val="Normal"/>
    <w:rsid w:val="009B5E21"/>
    <w:pPr>
      <w:spacing w:before="40" w:after="20"/>
    </w:pPr>
    <w:rPr>
      <w:rFonts w:eastAsia="Times New Roman" w:cs="Times New Roman"/>
      <w:b/>
      <w:sz w:val="20"/>
      <w:szCs w:val="20"/>
    </w:rPr>
  </w:style>
  <w:style w:type="paragraph" w:customStyle="1" w:styleId="TableL-TNR11-B">
    <w:name w:val="Table_L-TNR11-B"/>
    <w:basedOn w:val="Normal"/>
    <w:rsid w:val="0041331C"/>
    <w:pPr>
      <w:spacing w:before="40" w:after="20"/>
    </w:pPr>
    <w:rPr>
      <w:rFonts w:eastAsia="Times New Roman" w:cs="Times New Roman"/>
      <w:b/>
      <w:sz w:val="22"/>
    </w:rPr>
  </w:style>
  <w:style w:type="paragraph" w:customStyle="1" w:styleId="TableC-Ar09-B">
    <w:name w:val="Table_C-Ar09-B"/>
    <w:basedOn w:val="Normal"/>
    <w:rsid w:val="0091335B"/>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91335B"/>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91335B"/>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91335B"/>
    <w:pPr>
      <w:spacing w:after="20"/>
      <w:ind w:right="144"/>
      <w:jc w:val="right"/>
    </w:pPr>
    <w:rPr>
      <w:bCs/>
      <w:sz w:val="22"/>
      <w:szCs w:val="22"/>
    </w:rPr>
  </w:style>
  <w:style w:type="paragraph" w:customStyle="1" w:styleId="ListNoNum">
    <w:name w:val="ListNoNum"/>
    <w:basedOn w:val="Normal"/>
    <w:link w:val="ListNoNumChar1"/>
    <w:qFormat/>
    <w:rsid w:val="004F417A"/>
    <w:pPr>
      <w:spacing w:before="0" w:after="0"/>
      <w:ind w:left="360" w:hanging="360"/>
    </w:pPr>
    <w:rPr>
      <w:rFonts w:eastAsia="Times New Roman" w:cs="Times New Roman"/>
      <w:sz w:val="22"/>
      <w:szCs w:val="24"/>
    </w:rPr>
  </w:style>
  <w:style w:type="paragraph" w:customStyle="1" w:styleId="ListNoNum-B">
    <w:name w:val="ListNoNum-B"/>
    <w:basedOn w:val="ListNoNum"/>
    <w:rsid w:val="004049B7"/>
    <w:pPr>
      <w:spacing w:before="20" w:after="20"/>
    </w:pPr>
    <w:rPr>
      <w:b/>
      <w:szCs w:val="22"/>
    </w:rPr>
  </w:style>
  <w:style w:type="character" w:customStyle="1" w:styleId="ListNoNumChar1">
    <w:name w:val="ListNoNum Char1"/>
    <w:link w:val="ListNoNum"/>
    <w:rsid w:val="004F417A"/>
    <w:rPr>
      <w:rFonts w:ascii="Times New Roman" w:eastAsia="Times New Roman" w:hAnsi="Times New Roman" w:cs="Times New Roman"/>
      <w:szCs w:val="24"/>
    </w:rPr>
  </w:style>
  <w:style w:type="paragraph" w:customStyle="1" w:styleId="ListNoNum-3">
    <w:name w:val="ListNoNum-3"/>
    <w:basedOn w:val="ListNoNum-2"/>
    <w:link w:val="ListNoNum-3Char"/>
    <w:qFormat/>
    <w:rsid w:val="00B272C7"/>
    <w:pPr>
      <w:tabs>
        <w:tab w:val="clear" w:pos="720"/>
        <w:tab w:val="left" w:pos="396"/>
      </w:tabs>
      <w:ind w:left="1152"/>
    </w:pPr>
  </w:style>
  <w:style w:type="character" w:customStyle="1" w:styleId="ListNoNum-3Char">
    <w:name w:val="ListNoNum-3 Char"/>
    <w:basedOn w:val="ListNoNum-2Char1"/>
    <w:link w:val="ListNoNum-3"/>
    <w:rsid w:val="00B272C7"/>
    <w:rPr>
      <w:rFonts w:ascii="Times New Roman" w:eastAsia="Times New Roman" w:hAnsi="Times New Roman" w:cs="Times New Roman"/>
      <w:szCs w:val="24"/>
    </w:rPr>
  </w:style>
  <w:style w:type="character" w:customStyle="1" w:styleId="ListNoNum-BChar">
    <w:name w:val="ListNoNum-B Char"/>
    <w:rsid w:val="008469A9"/>
    <w:rPr>
      <w:b/>
      <w:bCs w:val="0"/>
      <w:sz w:val="22"/>
      <w:szCs w:val="22"/>
      <w:lang w:val="en-US" w:eastAsia="en-US" w:bidi="ar-SA"/>
    </w:rPr>
  </w:style>
  <w:style w:type="character" w:customStyle="1" w:styleId="Heading7Char">
    <w:name w:val="Heading 7 Char"/>
    <w:basedOn w:val="DefaultParagraphFont"/>
    <w:link w:val="Heading7"/>
    <w:uiPriority w:val="9"/>
    <w:rsid w:val="00B474A1"/>
    <w:rPr>
      <w:rFonts w:ascii="Times New Roman" w:eastAsia="Times New Roman" w:hAnsi="Times New Roman" w:cs="Times New Roman"/>
      <w:sz w:val="24"/>
      <w:szCs w:val="20"/>
    </w:rPr>
  </w:style>
  <w:style w:type="paragraph" w:customStyle="1" w:styleId="ListNoNumBullet-1">
    <w:name w:val="ListNoNum_Bullet-1"/>
    <w:basedOn w:val="Normal"/>
    <w:rsid w:val="00B474A1"/>
    <w:pPr>
      <w:numPr>
        <w:numId w:val="13"/>
      </w:numPr>
      <w:spacing w:before="20" w:after="20"/>
    </w:pPr>
    <w:rPr>
      <w:rFonts w:eastAsia="Times New Roman" w:cs="Times New Roman"/>
      <w:sz w:val="22"/>
      <w:szCs w:val="24"/>
    </w:rPr>
  </w:style>
  <w:style w:type="character" w:styleId="UnresolvedMention">
    <w:name w:val="Unresolved Mention"/>
    <w:basedOn w:val="DefaultParagraphFont"/>
    <w:uiPriority w:val="99"/>
    <w:semiHidden/>
    <w:unhideWhenUsed/>
    <w:rsid w:val="003E4A6B"/>
    <w:rPr>
      <w:color w:val="808080"/>
      <w:shd w:val="clear" w:color="auto" w:fill="E6E6E6"/>
    </w:rPr>
  </w:style>
  <w:style w:type="paragraph" w:customStyle="1" w:styleId="Header-Center">
    <w:name w:val="Header-Center"/>
    <w:basedOn w:val="Header"/>
    <w:rsid w:val="008F2D20"/>
    <w:pPr>
      <w:tabs>
        <w:tab w:val="clear" w:pos="4680"/>
        <w:tab w:val="clear" w:pos="9360"/>
        <w:tab w:val="center" w:pos="4320"/>
        <w:tab w:val="right" w:pos="8640"/>
      </w:tabs>
      <w:spacing w:before="0"/>
      <w:jc w:val="center"/>
    </w:pPr>
    <w:rPr>
      <w:rFonts w:ascii="Arial Rounded MT Bold" w:eastAsia="Times New Roman" w:hAnsi="Arial Rounded MT Bold" w:cs="Times New Roman"/>
      <w:bCs/>
      <w:iCs/>
      <w:shadow/>
      <w:color w:val="003366"/>
      <w:sz w:val="22"/>
      <w:szCs w:val="24"/>
    </w:rPr>
  </w:style>
  <w:style w:type="paragraph" w:customStyle="1" w:styleId="ListBullet1">
    <w:name w:val="List Bullet1"/>
    <w:basedOn w:val="Normal"/>
    <w:rsid w:val="00032B33"/>
    <w:pPr>
      <w:numPr>
        <w:numId w:val="14"/>
      </w:numPr>
      <w:spacing w:before="60" w:after="60"/>
    </w:pPr>
    <w:rPr>
      <w:rFonts w:eastAsia="Times New Roman" w:cs="Times New Roman"/>
      <w:szCs w:val="20"/>
    </w:rPr>
  </w:style>
  <w:style w:type="paragraph" w:customStyle="1" w:styleId="TableL-TNR11">
    <w:name w:val="Table_L-TNR11"/>
    <w:basedOn w:val="Normal"/>
    <w:rsid w:val="00032B33"/>
    <w:pPr>
      <w:spacing w:before="40" w:after="20"/>
    </w:pPr>
    <w:rPr>
      <w:rFonts w:eastAsia="Times New Roman" w:cs="Times New Roman"/>
      <w:sz w:val="22"/>
      <w:szCs w:val="24"/>
    </w:rPr>
  </w:style>
  <w:style w:type="paragraph" w:customStyle="1" w:styleId="TableC-TNR11">
    <w:name w:val="Table_C-TNR11"/>
    <w:basedOn w:val="TableL-TNR11"/>
    <w:rsid w:val="00032B33"/>
    <w:pPr>
      <w:jc w:val="center"/>
    </w:pPr>
  </w:style>
  <w:style w:type="paragraph" w:customStyle="1" w:styleId="Contents">
    <w:name w:val="Contents"/>
    <w:next w:val="HSAGTableText"/>
    <w:rsid w:val="00032B33"/>
    <w:pPr>
      <w:shd w:val="clear" w:color="auto" w:fill="00549E"/>
      <w:spacing w:after="0" w:line="240" w:lineRule="auto"/>
      <w:jc w:val="right"/>
    </w:pPr>
    <w:rPr>
      <w:rFonts w:ascii="Calibri" w:hAnsi="Calibri"/>
      <w:b/>
      <w:noProof/>
      <w:color w:val="FFFFFF"/>
      <w:sz w:val="32"/>
      <w:szCs w:val="32"/>
    </w:rPr>
  </w:style>
  <w:style w:type="paragraph" w:styleId="PlainText">
    <w:name w:val="Plain Text"/>
    <w:basedOn w:val="Normal"/>
    <w:link w:val="PlainTextChar"/>
    <w:uiPriority w:val="99"/>
    <w:semiHidden/>
    <w:unhideWhenUsed/>
    <w:rsid w:val="00032B33"/>
    <w:pPr>
      <w:spacing w:before="0"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2B33"/>
    <w:rPr>
      <w:rFonts w:ascii="Consolas" w:hAnsi="Consolas" w:cs="Consolas"/>
      <w:sz w:val="21"/>
      <w:szCs w:val="21"/>
    </w:rPr>
  </w:style>
  <w:style w:type="paragraph" w:styleId="NormalIndent">
    <w:name w:val="Normal Indent"/>
    <w:basedOn w:val="Normal"/>
    <w:uiPriority w:val="99"/>
    <w:semiHidden/>
    <w:unhideWhenUsed/>
    <w:rsid w:val="00032B33"/>
    <w:pPr>
      <w:ind w:left="720"/>
    </w:pPr>
  </w:style>
  <w:style w:type="character" w:styleId="FootnoteReference">
    <w:name w:val="footnote reference"/>
    <w:basedOn w:val="DefaultParagraphFont"/>
    <w:uiPriority w:val="99"/>
    <w:unhideWhenUsed/>
    <w:rsid w:val="00032B33"/>
    <w:rPr>
      <w:vertAlign w:val="superscript"/>
    </w:rPr>
  </w:style>
  <w:style w:type="paragraph" w:styleId="BodyTextIndent">
    <w:name w:val="Body Text Indent"/>
    <w:aliases w:val="Char"/>
    <w:basedOn w:val="Normal"/>
    <w:link w:val="BodyTextIndentChar"/>
    <w:unhideWhenUsed/>
    <w:rsid w:val="00032B33"/>
    <w:pPr>
      <w:spacing w:after="120"/>
      <w:ind w:left="360"/>
    </w:pPr>
  </w:style>
  <w:style w:type="character" w:customStyle="1" w:styleId="BodyTextIndentChar">
    <w:name w:val="Body Text Indent Char"/>
    <w:aliases w:val="Char Char"/>
    <w:basedOn w:val="DefaultParagraphFont"/>
    <w:link w:val="BodyTextIndent"/>
    <w:rsid w:val="00032B33"/>
    <w:rPr>
      <w:rFonts w:ascii="Times New Roman" w:hAnsi="Times New Roman"/>
      <w:sz w:val="24"/>
    </w:rPr>
  </w:style>
  <w:style w:type="paragraph" w:customStyle="1" w:styleId="TableLegend">
    <w:name w:val="TableLegend"/>
    <w:basedOn w:val="Normal"/>
    <w:rsid w:val="00032B33"/>
    <w:pPr>
      <w:spacing w:before="120" w:after="120"/>
    </w:pPr>
    <w:rPr>
      <w:rFonts w:ascii="Arial" w:eastAsia="Times New Roman" w:hAnsi="Arial" w:cs="Arial"/>
      <w:kern w:val="22"/>
      <w:sz w:val="22"/>
      <w:szCs w:val="24"/>
    </w:rPr>
  </w:style>
  <w:style w:type="character" w:customStyle="1" w:styleId="HP-Style0">
    <w:name w:val="[HP-Style]"/>
    <w:rsid w:val="00032B33"/>
    <w:rPr>
      <w:b/>
      <w:color w:val="003366"/>
    </w:rPr>
  </w:style>
  <w:style w:type="paragraph" w:customStyle="1" w:styleId="TableC-Ar10-B">
    <w:name w:val="Table_C-Ar10-B"/>
    <w:basedOn w:val="Normal"/>
    <w:rsid w:val="00032B33"/>
    <w:pPr>
      <w:spacing w:before="20" w:after="0"/>
      <w:jc w:val="center"/>
    </w:pPr>
    <w:rPr>
      <w:rFonts w:ascii="Arial Bold" w:eastAsia="Times New Roman" w:hAnsi="Arial Bold" w:cs="Times New Roman"/>
      <w:b/>
      <w:sz w:val="20"/>
      <w:szCs w:val="20"/>
    </w:rPr>
  </w:style>
  <w:style w:type="paragraph" w:customStyle="1" w:styleId="TableL-Ar10-B">
    <w:name w:val="Table_L-Ar10-B"/>
    <w:basedOn w:val="Normal"/>
    <w:rsid w:val="00032B33"/>
    <w:pPr>
      <w:spacing w:before="20" w:after="0"/>
    </w:pPr>
    <w:rPr>
      <w:rFonts w:ascii="Arial Bold" w:eastAsia="Times New Roman" w:hAnsi="Arial Bold" w:cs="Times New Roman"/>
      <w:b/>
      <w:sz w:val="20"/>
      <w:szCs w:val="20"/>
    </w:rPr>
  </w:style>
  <w:style w:type="paragraph" w:customStyle="1" w:styleId="TableC-Wh-Ar10-B">
    <w:name w:val="Table_C-Wh-Ar10-B"/>
    <w:basedOn w:val="Normal"/>
    <w:rsid w:val="00032B33"/>
    <w:pPr>
      <w:spacing w:before="40" w:after="20"/>
      <w:jc w:val="center"/>
    </w:pPr>
    <w:rPr>
      <w:rFonts w:ascii="Arial" w:eastAsia="Times New Roman" w:hAnsi="Arial" w:cs="Times New Roman"/>
      <w:b/>
      <w:color w:val="FFFFFF"/>
      <w:sz w:val="20"/>
      <w:szCs w:val="20"/>
    </w:rPr>
  </w:style>
  <w:style w:type="paragraph" w:customStyle="1" w:styleId="TableC-TNR11-B">
    <w:name w:val="Table_C-TNR11-B"/>
    <w:basedOn w:val="Normal"/>
    <w:rsid w:val="00032B33"/>
    <w:pPr>
      <w:spacing w:before="40" w:after="20"/>
      <w:jc w:val="center"/>
    </w:pPr>
    <w:rPr>
      <w:rFonts w:eastAsia="Times New Roman" w:cs="Times New Roman"/>
      <w:b/>
      <w:sz w:val="22"/>
    </w:rPr>
  </w:style>
  <w:style w:type="paragraph" w:customStyle="1" w:styleId="TableHeading-CWhite">
    <w:name w:val="TableHeading-C_White"/>
    <w:basedOn w:val="Normal"/>
    <w:rsid w:val="00032B33"/>
    <w:pPr>
      <w:spacing w:before="40" w:after="20"/>
      <w:jc w:val="center"/>
    </w:pPr>
    <w:rPr>
      <w:rFonts w:ascii="Arial" w:eastAsia="Times New Roman" w:hAnsi="Arial" w:cs="Times New Roman"/>
      <w:b/>
      <w:color w:val="FFFFFF"/>
      <w:sz w:val="20"/>
      <w:szCs w:val="20"/>
    </w:rPr>
  </w:style>
  <w:style w:type="paragraph" w:customStyle="1" w:styleId="TableL-Ar08-B">
    <w:name w:val="Table_L-Ar08-B"/>
    <w:basedOn w:val="TableL-TNR11"/>
    <w:rsid w:val="00032B33"/>
    <w:pPr>
      <w:spacing w:before="20" w:after="0"/>
    </w:pPr>
    <w:rPr>
      <w:rFonts w:ascii="Arial Bold" w:hAnsi="Arial Bold"/>
      <w:b/>
      <w:sz w:val="16"/>
      <w:szCs w:val="16"/>
    </w:rPr>
  </w:style>
  <w:style w:type="paragraph" w:customStyle="1" w:styleId="TableC-Ar08-B">
    <w:name w:val="Table_C-Ar08-B"/>
    <w:basedOn w:val="TableL-Ar08-B"/>
    <w:rsid w:val="00032B33"/>
    <w:pPr>
      <w:jc w:val="center"/>
    </w:pPr>
  </w:style>
  <w:style w:type="paragraph" w:customStyle="1" w:styleId="TableL-Ar09-B">
    <w:name w:val="Table_L-Ar09-B"/>
    <w:basedOn w:val="TableL-Ar08-B"/>
    <w:rsid w:val="00032B33"/>
    <w:rPr>
      <w:sz w:val="18"/>
      <w:szCs w:val="18"/>
    </w:rPr>
  </w:style>
  <w:style w:type="paragraph" w:customStyle="1" w:styleId="TableLegend-L-Ar08">
    <w:name w:val="Table_Legend-L-Ar08"/>
    <w:basedOn w:val="Normal"/>
    <w:rsid w:val="00032B33"/>
    <w:pPr>
      <w:spacing w:before="20" w:after="20"/>
    </w:pPr>
    <w:rPr>
      <w:rFonts w:ascii="Arial" w:eastAsia="Times New Roman" w:hAnsi="Arial" w:cs="Times New Roman"/>
      <w:kern w:val="22"/>
      <w:sz w:val="16"/>
      <w:szCs w:val="16"/>
    </w:rPr>
  </w:style>
  <w:style w:type="paragraph" w:customStyle="1" w:styleId="HSAGTitlePage1">
    <w:name w:val="HSAG Title Page 1"/>
    <w:basedOn w:val="Normal"/>
    <w:qFormat/>
    <w:rsid w:val="00032B33"/>
    <w:pPr>
      <w:spacing w:before="360" w:after="0"/>
      <w:ind w:right="864"/>
      <w:jc w:val="right"/>
    </w:pPr>
    <w:rPr>
      <w:rFonts w:ascii="Calibri" w:hAnsi="Calibri"/>
      <w:b/>
      <w:color w:val="00549E"/>
      <w:sz w:val="56"/>
    </w:rPr>
  </w:style>
  <w:style w:type="paragraph" w:customStyle="1" w:styleId="HSAGPageTitle4">
    <w:name w:val="HSAG Page Title 4"/>
    <w:basedOn w:val="Normal"/>
    <w:rsid w:val="00032B33"/>
    <w:pPr>
      <w:spacing w:before="120" w:after="0"/>
      <w:ind w:right="864"/>
      <w:jc w:val="right"/>
      <w:outlineLvl w:val="0"/>
    </w:pPr>
    <w:rPr>
      <w:rFonts w:ascii="Calibri" w:hAnsi="Calibri"/>
      <w:color w:val="00549E"/>
      <w:sz w:val="44"/>
      <w:szCs w:val="44"/>
    </w:rPr>
  </w:style>
  <w:style w:type="paragraph" w:customStyle="1" w:styleId="HSAGTitlePage2">
    <w:name w:val="HSAG Title Page 2"/>
    <w:basedOn w:val="HSAGPageTitle4"/>
    <w:qFormat/>
    <w:rsid w:val="00032B33"/>
    <w:pPr>
      <w:framePr w:hSpace="187" w:wrap="around" w:vAnchor="text" w:hAnchor="text" w:xAlign="right" w:y="1"/>
      <w:suppressOverlap/>
    </w:pPr>
    <w:rPr>
      <w:i/>
    </w:rPr>
  </w:style>
  <w:style w:type="paragraph" w:styleId="TOC8">
    <w:name w:val="toc 8"/>
    <w:basedOn w:val="Normal"/>
    <w:next w:val="Normal"/>
    <w:autoRedefine/>
    <w:uiPriority w:val="39"/>
    <w:semiHidden/>
    <w:unhideWhenUsed/>
    <w:rsid w:val="00032B33"/>
    <w:pPr>
      <w:spacing w:after="100"/>
      <w:ind w:left="1680"/>
    </w:pPr>
  </w:style>
  <w:style w:type="table" w:customStyle="1" w:styleId="TableGridLight1">
    <w:name w:val="Table Grid Light1"/>
    <w:basedOn w:val="TableNormal"/>
    <w:next w:val="TableGridLight"/>
    <w:uiPriority w:val="40"/>
    <w:rsid w:val="00032B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32B33"/>
    <w:pPr>
      <w:widowControl w:val="0"/>
      <w:autoSpaceDE w:val="0"/>
      <w:autoSpaceDN w:val="0"/>
      <w:spacing w:before="0" w:after="0"/>
      <w:jc w:val="center"/>
    </w:pPr>
    <w:rPr>
      <w:rFonts w:ascii="Arial" w:eastAsia="Arial" w:hAnsi="Arial" w:cs="Arial"/>
      <w:sz w:val="22"/>
    </w:rPr>
  </w:style>
  <w:style w:type="paragraph" w:customStyle="1" w:styleId="Cover-Title-Name">
    <w:name w:val="Cover-Title-Name"/>
    <w:basedOn w:val="Normal"/>
    <w:rsid w:val="00032B33"/>
    <w:pPr>
      <w:jc w:val="center"/>
    </w:pPr>
    <w:rPr>
      <w:rFonts w:ascii="Footlight MT Light" w:eastAsia="Times New Roman" w:hAnsi="Footlight MT Light" w:cs="Times New Roman"/>
      <w:b/>
      <w:smallCaps/>
      <w:shadow/>
      <w:sz w:val="72"/>
      <w:szCs w:val="20"/>
    </w:rPr>
  </w:style>
  <w:style w:type="paragraph" w:customStyle="1" w:styleId="TableL-TNR09-B">
    <w:name w:val="Table_L-TNR09-B"/>
    <w:basedOn w:val="Normal"/>
    <w:link w:val="TableL-TNR09-BChar"/>
    <w:rsid w:val="00032B33"/>
    <w:pPr>
      <w:spacing w:before="40" w:after="20"/>
    </w:pPr>
    <w:rPr>
      <w:rFonts w:eastAsia="Times New Roman" w:cs="Times New Roman"/>
      <w:b/>
      <w:sz w:val="18"/>
      <w:szCs w:val="18"/>
    </w:rPr>
  </w:style>
  <w:style w:type="character" w:customStyle="1" w:styleId="TableL-TNR09-BChar">
    <w:name w:val="Table_L-TNR09-B Char"/>
    <w:link w:val="TableL-TNR09-B"/>
    <w:rsid w:val="00032B33"/>
    <w:rPr>
      <w:rFonts w:ascii="Times New Roman" w:eastAsia="Times New Roman" w:hAnsi="Times New Roman" w:cs="Times New Roman"/>
      <w:b/>
      <w:sz w:val="18"/>
      <w:szCs w:val="18"/>
    </w:rPr>
  </w:style>
  <w:style w:type="paragraph" w:customStyle="1" w:styleId="TableBullet1-L-TNR11">
    <w:name w:val="Table_Bullet1-L-TNR11"/>
    <w:basedOn w:val="Normal"/>
    <w:rsid w:val="00032B33"/>
    <w:pPr>
      <w:numPr>
        <w:numId w:val="15"/>
      </w:numPr>
      <w:spacing w:before="40" w:after="40"/>
      <w:ind w:left="360" w:hanging="360"/>
    </w:pPr>
    <w:rPr>
      <w:rFonts w:eastAsia="Times New Roman" w:cs="Times New Roman"/>
      <w:sz w:val="22"/>
      <w:szCs w:val="24"/>
    </w:rPr>
  </w:style>
  <w:style w:type="paragraph" w:customStyle="1" w:styleId="ListNoNum2">
    <w:name w:val="ListNoNum2"/>
    <w:basedOn w:val="HSAGNumbers"/>
    <w:qFormat/>
    <w:rsid w:val="00790C8C"/>
    <w:pPr>
      <w:numPr>
        <w:numId w:val="0"/>
      </w:numPr>
      <w:ind w:left="720" w:hanging="360"/>
    </w:pPr>
  </w:style>
  <w:style w:type="paragraph" w:customStyle="1" w:styleId="ListNoNum3">
    <w:name w:val="ListNoNum3"/>
    <w:basedOn w:val="ListParagraph"/>
    <w:qFormat/>
    <w:rsid w:val="00790C8C"/>
    <w:pPr>
      <w:spacing w:before="60" w:after="60"/>
      <w:ind w:left="1080" w:hanging="360"/>
      <w:contextualSpacing w:val="0"/>
    </w:pPr>
    <w:rPr>
      <w:rFonts w:eastAsiaTheme="minorHAnsi"/>
      <w:color w:val="000000" w:themeColor="text1"/>
      <w:sz w:val="22"/>
      <w:szCs w:val="22"/>
    </w:rPr>
  </w:style>
  <w:style w:type="paragraph" w:styleId="BodyText3">
    <w:name w:val="Body Text 3"/>
    <w:basedOn w:val="Normal"/>
    <w:link w:val="BodyText3Char"/>
    <w:semiHidden/>
    <w:unhideWhenUsed/>
    <w:rsid w:val="00790C8C"/>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790C8C"/>
    <w:rPr>
      <w:rFonts w:ascii="Times New Roman" w:eastAsia="Times New Roman" w:hAnsi="Times New Roman" w:cs="Times New Roman"/>
      <w:sz w:val="16"/>
      <w:szCs w:val="16"/>
    </w:rPr>
  </w:style>
  <w:style w:type="character" w:customStyle="1" w:styleId="ptext-25">
    <w:name w:val="ptext-25"/>
    <w:basedOn w:val="DefaultParagraphFont"/>
    <w:rsid w:val="00790C8C"/>
  </w:style>
  <w:style w:type="character" w:customStyle="1" w:styleId="UnresolvedMention1">
    <w:name w:val="Unresolved Mention1"/>
    <w:basedOn w:val="DefaultParagraphFont"/>
    <w:uiPriority w:val="99"/>
    <w:semiHidden/>
    <w:unhideWhenUsed/>
    <w:rsid w:val="00790C8C"/>
    <w:rPr>
      <w:color w:val="808080"/>
      <w:shd w:val="clear" w:color="auto" w:fill="E6E6E6"/>
    </w:rPr>
  </w:style>
  <w:style w:type="character" w:customStyle="1" w:styleId="ListParagraphChar">
    <w:name w:val="List Paragraph Char"/>
    <w:aliases w:val="Scope of Services Char,Bull2 Char,Numbering Char,Figure_name Char,List Paragraph1 Char,Bullet- First level Char,numbered Char,FooterText Char,Alpha List Paragraph Char,Style 2 Char,L1 Char,Bullets Char"/>
    <w:basedOn w:val="DefaultParagraphFont"/>
    <w:link w:val="ListParagraph"/>
    <w:uiPriority w:val="34"/>
    <w:locked/>
    <w:rsid w:val="00D3552B"/>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8728E8"/>
    <w:pPr>
      <w:spacing w:after="0"/>
    </w:pPr>
    <w:rPr>
      <w:sz w:val="20"/>
      <w:szCs w:val="20"/>
    </w:rPr>
  </w:style>
  <w:style w:type="character" w:customStyle="1" w:styleId="EndnoteTextChar">
    <w:name w:val="Endnote Text Char"/>
    <w:basedOn w:val="DefaultParagraphFont"/>
    <w:link w:val="EndnoteText"/>
    <w:uiPriority w:val="99"/>
    <w:semiHidden/>
    <w:rsid w:val="008728E8"/>
    <w:rPr>
      <w:rFonts w:ascii="Times New Roman" w:hAnsi="Times New Roman"/>
      <w:sz w:val="20"/>
      <w:szCs w:val="20"/>
    </w:rPr>
  </w:style>
  <w:style w:type="character" w:styleId="EndnoteReference">
    <w:name w:val="endnote reference"/>
    <w:basedOn w:val="DefaultParagraphFont"/>
    <w:uiPriority w:val="99"/>
    <w:unhideWhenUsed/>
    <w:rsid w:val="008728E8"/>
    <w:rPr>
      <w:vertAlign w:val="superscript"/>
    </w:rPr>
  </w:style>
  <w:style w:type="table" w:customStyle="1" w:styleId="TableGrid2">
    <w:name w:val="Table Grid2"/>
    <w:basedOn w:val="TableNormal"/>
    <w:next w:val="TableGrid"/>
    <w:uiPriority w:val="59"/>
    <w:rsid w:val="008728E8"/>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sz w:val="22"/>
      </w:rPr>
      <w:tblPr/>
      <w:tcPr>
        <w:shd w:val="clear" w:color="auto" w:fill="61A2D8"/>
      </w:tcPr>
    </w:tblStylePr>
    <w:tblStylePr w:type="band1Horz">
      <w:tblPr/>
      <w:tcPr>
        <w:shd w:val="clear" w:color="auto" w:fill="DFECF7"/>
      </w:tcPr>
    </w:tblStylePr>
  </w:style>
  <w:style w:type="table" w:customStyle="1" w:styleId="TableGrid3">
    <w:name w:val="Table Grid3"/>
    <w:basedOn w:val="TableNormal"/>
    <w:next w:val="TableGrid"/>
    <w:uiPriority w:val="59"/>
    <w:rsid w:val="008728E8"/>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sz w:val="22"/>
      </w:rPr>
      <w:tblPr/>
      <w:tcPr>
        <w:shd w:val="clear" w:color="auto" w:fill="61A2D8"/>
      </w:tcPr>
    </w:tblStylePr>
    <w:tblStylePr w:type="band1Horz">
      <w:tblPr/>
      <w:tcPr>
        <w:shd w:val="clear" w:color="auto" w:fill="DFECF7"/>
      </w:tcPr>
    </w:tblStylePr>
  </w:style>
  <w:style w:type="table" w:customStyle="1" w:styleId="TableGrid11">
    <w:name w:val="Table Grid11"/>
    <w:basedOn w:val="TableNormal"/>
    <w:next w:val="TableGrid"/>
    <w:uiPriority w:val="59"/>
    <w:rsid w:val="008728E8"/>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sz w:val="22"/>
      </w:rPr>
      <w:tblPr/>
      <w:tcPr>
        <w:shd w:val="clear" w:color="auto" w:fill="61A2D8"/>
      </w:tcPr>
    </w:tblStylePr>
    <w:tblStylePr w:type="band1Horz">
      <w:tblPr/>
      <w:tcPr>
        <w:shd w:val="clear" w:color="auto" w:fill="DFECF7"/>
      </w:tcPr>
    </w:tblStylePr>
  </w:style>
  <w:style w:type="table" w:customStyle="1" w:styleId="TableGrid4">
    <w:name w:val="Table Grid4"/>
    <w:basedOn w:val="TableNormal"/>
    <w:next w:val="TableGrid"/>
    <w:uiPriority w:val="59"/>
    <w:rsid w:val="008728E8"/>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table" w:customStyle="1" w:styleId="TableGridLight2">
    <w:name w:val="Table Grid Light2"/>
    <w:basedOn w:val="TableNormal"/>
    <w:next w:val="TableGridLight"/>
    <w:uiPriority w:val="40"/>
    <w:rsid w:val="008728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2">
    <w:name w:val="Table Grid12"/>
    <w:basedOn w:val="TableNormal"/>
    <w:next w:val="TableGrid"/>
    <w:uiPriority w:val="59"/>
    <w:rsid w:val="008728E8"/>
    <w:pPr>
      <w:spacing w:after="0" w:line="240" w:lineRule="auto"/>
    </w:pPr>
    <w:rPr>
      <w:rFonts w:eastAsia="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sz w:val="22"/>
      </w:rPr>
      <w:tblPr/>
      <w:tcPr>
        <w:shd w:val="clear" w:color="auto" w:fill="61A2D8"/>
      </w:tcPr>
    </w:tblStylePr>
    <w:tblStylePr w:type="band1Horz">
      <w:tblPr/>
      <w:tcPr>
        <w:shd w:val="clear" w:color="auto" w:fill="DFECF7"/>
      </w:tcPr>
    </w:tblStylePr>
  </w:style>
  <w:style w:type="table" w:customStyle="1" w:styleId="TableGrid21">
    <w:name w:val="Table Grid21"/>
    <w:basedOn w:val="TableNormal"/>
    <w:next w:val="TableGrid"/>
    <w:uiPriority w:val="59"/>
    <w:rsid w:val="008728E8"/>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sz w:val="22"/>
      </w:rPr>
      <w:tblPr/>
      <w:tcPr>
        <w:shd w:val="clear" w:color="auto" w:fill="61A2D8"/>
      </w:tcPr>
    </w:tblStylePr>
    <w:tblStylePr w:type="band1Horz">
      <w:tblPr/>
      <w:tcPr>
        <w:shd w:val="clear" w:color="auto" w:fill="DFECF7"/>
      </w:tcPr>
    </w:tblStylePr>
  </w:style>
  <w:style w:type="table" w:customStyle="1" w:styleId="TableGrid31">
    <w:name w:val="Table Grid31"/>
    <w:basedOn w:val="TableNormal"/>
    <w:next w:val="TableGrid"/>
    <w:uiPriority w:val="59"/>
    <w:rsid w:val="008728E8"/>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sz w:val="22"/>
      </w:rPr>
      <w:tblPr/>
      <w:tcPr>
        <w:shd w:val="clear" w:color="auto" w:fill="61A2D8"/>
      </w:tcPr>
    </w:tblStylePr>
    <w:tblStylePr w:type="band1Horz">
      <w:tblPr/>
      <w:tcPr>
        <w:shd w:val="clear" w:color="auto" w:fill="DFECF7"/>
      </w:tcPr>
    </w:tblStylePr>
  </w:style>
  <w:style w:type="table" w:customStyle="1" w:styleId="TableGrid111">
    <w:name w:val="Table Grid111"/>
    <w:basedOn w:val="TableNormal"/>
    <w:next w:val="TableGrid"/>
    <w:uiPriority w:val="59"/>
    <w:rsid w:val="008728E8"/>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sz w:val="22"/>
      </w:rPr>
      <w:tblPr/>
      <w:tcPr>
        <w:shd w:val="clear" w:color="auto" w:fill="61A2D8"/>
      </w:tcPr>
    </w:tblStylePr>
    <w:tblStylePr w:type="band1Horz">
      <w:tblPr/>
      <w:tcPr>
        <w:shd w:val="clear" w:color="auto" w:fill="DFECF7"/>
      </w:tcPr>
    </w:tblStylePr>
  </w:style>
  <w:style w:type="table" w:customStyle="1" w:styleId="TableGridLight11">
    <w:name w:val="Table Grid Light11"/>
    <w:basedOn w:val="TableNormal"/>
    <w:uiPriority w:val="40"/>
    <w:rsid w:val="008728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al">
    <w:name w:val="[Ital]"/>
    <w:rsid w:val="008728E8"/>
    <w:rPr>
      <w:i/>
      <w:iCs/>
    </w:rPr>
  </w:style>
  <w:style w:type="paragraph" w:customStyle="1" w:styleId="PageBreak">
    <w:name w:val="PageBreak"/>
    <w:basedOn w:val="BodyTextIndent"/>
    <w:rsid w:val="008728E8"/>
    <w:pPr>
      <w:spacing w:before="0" w:after="0"/>
      <w:ind w:left="0"/>
    </w:pPr>
    <w:rPr>
      <w:rFonts w:eastAsia="Times New Roman" w:cs="Times New Roman"/>
      <w:sz w:val="16"/>
      <w:szCs w:val="20"/>
    </w:rPr>
  </w:style>
  <w:style w:type="paragraph" w:customStyle="1" w:styleId="TableNumber1-L-TNR11">
    <w:name w:val="Table_Number1-L-TNR11"/>
    <w:basedOn w:val="Normal"/>
    <w:rsid w:val="008728E8"/>
    <w:pPr>
      <w:numPr>
        <w:numId w:val="17"/>
      </w:numPr>
      <w:tabs>
        <w:tab w:val="clear" w:pos="720"/>
        <w:tab w:val="num" w:pos="360"/>
      </w:tabs>
      <w:spacing w:before="40" w:after="40"/>
      <w:ind w:left="0" w:firstLine="0"/>
    </w:pPr>
    <w:rPr>
      <w:rFonts w:eastAsia="Times New Roman" w:cs="Times New Roman"/>
      <w:sz w:val="22"/>
      <w:szCs w:val="24"/>
    </w:rPr>
  </w:style>
  <w:style w:type="paragraph" w:customStyle="1" w:styleId="for">
    <w:name w:val="for"/>
    <w:basedOn w:val="Normal"/>
    <w:rsid w:val="008728E8"/>
    <w:pPr>
      <w:spacing w:before="0" w:after="0"/>
      <w:jc w:val="center"/>
    </w:pPr>
    <w:rPr>
      <w:rFonts w:ascii="Monotype Corsiva" w:eastAsia="Times New Roman" w:hAnsi="Monotype Corsiva" w:cs="Times New Roman"/>
      <w:i/>
      <w:color w:val="003366"/>
      <w:sz w:val="52"/>
      <w:szCs w:val="20"/>
    </w:rPr>
  </w:style>
  <w:style w:type="numbering" w:customStyle="1" w:styleId="StyleNumbered1">
    <w:name w:val="Style Numbered1"/>
    <w:basedOn w:val="NoList"/>
    <w:rsid w:val="008728E8"/>
    <w:pPr>
      <w:numPr>
        <w:numId w:val="18"/>
      </w:numPr>
    </w:pPr>
  </w:style>
  <w:style w:type="table" w:customStyle="1" w:styleId="TableGridLight111">
    <w:name w:val="Table Grid Light111"/>
    <w:basedOn w:val="TableNormal"/>
    <w:uiPriority w:val="40"/>
    <w:rsid w:val="008728E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Level1">
    <w:name w:val="Level 1"/>
    <w:rsid w:val="008728E8"/>
    <w:pPr>
      <w:autoSpaceDE w:val="0"/>
      <w:autoSpaceDN w:val="0"/>
      <w:adjustRightInd w:val="0"/>
      <w:spacing w:after="0" w:line="240" w:lineRule="auto"/>
      <w:ind w:left="720"/>
    </w:pPr>
    <w:rPr>
      <w:rFonts w:ascii="Arial" w:eastAsia="Times New Roman" w:hAnsi="Arial" w:cs="Arial"/>
      <w:sz w:val="24"/>
      <w:szCs w:val="24"/>
    </w:rPr>
  </w:style>
  <w:style w:type="paragraph" w:customStyle="1" w:styleId="TableHdg-C-Wh-85pt">
    <w:name w:val="TableHdg-C-Wh-8.5pt"/>
    <w:basedOn w:val="Normal"/>
    <w:rsid w:val="00985584"/>
    <w:pPr>
      <w:spacing w:before="20" w:after="20"/>
      <w:jc w:val="center"/>
    </w:pPr>
    <w:rPr>
      <w:rFonts w:ascii="Arial Bold" w:eastAsia="Times New Roman" w:hAnsi="Arial Bold" w:cs="Times New Roman"/>
      <w:b/>
      <w:color w:val="FFFFFF"/>
      <w:spacing w:val="-2"/>
      <w:sz w:val="17"/>
      <w:szCs w:val="20"/>
    </w:rPr>
  </w:style>
  <w:style w:type="character" w:customStyle="1" w:styleId="normaltextrun">
    <w:name w:val="normaltextrun"/>
    <w:basedOn w:val="DefaultParagraphFont"/>
    <w:rsid w:val="00D03F23"/>
  </w:style>
  <w:style w:type="paragraph" w:customStyle="1" w:styleId="paragraph">
    <w:name w:val="paragraph"/>
    <w:basedOn w:val="Normal"/>
    <w:rsid w:val="00D03F23"/>
    <w:pPr>
      <w:spacing w:before="100" w:beforeAutospacing="1" w:after="100" w:afterAutospacing="1"/>
    </w:pPr>
    <w:rPr>
      <w:rFonts w:eastAsia="Times New Roman" w:cs="Times New Roman"/>
      <w:szCs w:val="24"/>
    </w:rPr>
  </w:style>
  <w:style w:type="character" w:customStyle="1" w:styleId="eop">
    <w:name w:val="eop"/>
    <w:basedOn w:val="DefaultParagraphFont"/>
    <w:rsid w:val="00D03F23"/>
  </w:style>
  <w:style w:type="character" w:customStyle="1" w:styleId="scxw127104304">
    <w:name w:val="scxw127104304"/>
    <w:basedOn w:val="DefaultParagraphFont"/>
    <w:rsid w:val="00D03F23"/>
  </w:style>
  <w:style w:type="character" w:customStyle="1" w:styleId="scxw249963625">
    <w:name w:val="scxw249963625"/>
    <w:basedOn w:val="DefaultParagraphFont"/>
    <w:rsid w:val="00D03F23"/>
  </w:style>
  <w:style w:type="character" w:customStyle="1" w:styleId="scxw252901754">
    <w:name w:val="scxw252901754"/>
    <w:basedOn w:val="DefaultParagraphFont"/>
    <w:rsid w:val="00D03F23"/>
  </w:style>
  <w:style w:type="character" w:customStyle="1" w:styleId="scxw141758780">
    <w:name w:val="scxw141758780"/>
    <w:basedOn w:val="DefaultParagraphFont"/>
    <w:rsid w:val="00D03F23"/>
  </w:style>
  <w:style w:type="character" w:customStyle="1" w:styleId="scxw236033024">
    <w:name w:val="scxw236033024"/>
    <w:basedOn w:val="DefaultParagraphFont"/>
    <w:rsid w:val="00A81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 w:id="150470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re.org/recipients/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mre.org/data-sharing/" TargetMode="External"/><Relationship Id="rId4" Type="http://schemas.openxmlformats.org/officeDocument/2006/relationships/settings" Target="settings.xml"/><Relationship Id="rId9" Type="http://schemas.openxmlformats.org/officeDocument/2006/relationships/hyperlink" Target="https://www.nmre.org/data-shar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SAG">
      <a:dk1>
        <a:sysClr val="windowText" lastClr="000000"/>
      </a:dk1>
      <a:lt1>
        <a:sysClr val="window" lastClr="FFFFFF"/>
      </a:lt1>
      <a:dk2>
        <a:srgbClr val="00549E"/>
      </a:dk2>
      <a:lt2>
        <a:srgbClr val="FFFFFF"/>
      </a:lt2>
      <a:accent1>
        <a:srgbClr val="61A2D8"/>
      </a:accent1>
      <a:accent2>
        <a:srgbClr val="C02640"/>
      </a:accent2>
      <a:accent3>
        <a:srgbClr val="50B848"/>
      </a:accent3>
      <a:accent4>
        <a:srgbClr val="F79548"/>
      </a:accent4>
      <a:accent5>
        <a:srgbClr val="3F3F3F"/>
      </a:accent5>
      <a:accent6>
        <a:srgbClr val="00549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7801B-1C39-49C1-AFC8-2EB5E040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55</Pages>
  <Words>20978</Words>
  <Characters>119578</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SFY 2025 Compliance Review Corrective Action Plan</vt:lpstr>
    </vt:vector>
  </TitlesOfParts>
  <Manager/>
  <Company>Michigan</Company>
  <LinksUpToDate>false</LinksUpToDate>
  <CharactersWithSpaces>140276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SFY 2025 Compliance Review Corrective Action Plan</dc:title>
  <dc:subject>Corrective Action Plan</dc:subject>
  <dc:creator>Nadine Rivera</dc:creator>
  <cp:keywords>Northern Michigan Regional Entity</cp:keywords>
  <dc:description>Region 2</dc:description>
  <cp:lastModifiedBy>Chris VanWagoner (NMRE)</cp:lastModifiedBy>
  <cp:revision>4</cp:revision>
  <cp:lastPrinted>2018-05-01T21:14:00Z</cp:lastPrinted>
  <dcterms:created xsi:type="dcterms:W3CDTF">2025-12-01T21:21:00Z</dcterms:created>
  <dcterms:modified xsi:type="dcterms:W3CDTF">2025-12-02T14:39:00Z</dcterms:modified>
  <cp:category>R2-NMRE_MI2025_PIHP_CR_CAP_F1_0925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Abbr-Txt">
    <vt:lpwstr> NMRE</vt:lpwstr>
  </property>
  <property fmtid="{D5CDD505-2E9C-101B-9397-08002B2CF9AE}" pid="3" name="DCfR">
    <vt:lpwstr> </vt:lpwstr>
  </property>
  <property fmtid="{D5CDD505-2E9C-101B-9397-08002B2CF9AE}" pid="4" name="DCfR(backup)">
    <vt:lpwstr>—Draft Copy for Review—</vt:lpwstr>
  </property>
  <property fmtid="{D5CDD505-2E9C-101B-9397-08002B2CF9AE}" pid="5" name="MSIP_Label_3a2fed65-62e7-46ea-af74-187e0c17143a_Enabled">
    <vt:lpwstr>true</vt:lpwstr>
  </property>
  <property fmtid="{D5CDD505-2E9C-101B-9397-08002B2CF9AE}" pid="6" name="MSIP_Label_3a2fed65-62e7-46ea-af74-187e0c17143a_SetDate">
    <vt:lpwstr>2025-11-17T13:34:13Z</vt:lpwstr>
  </property>
  <property fmtid="{D5CDD505-2E9C-101B-9397-08002B2CF9AE}" pid="7" name="MSIP_Label_3a2fed65-62e7-46ea-af74-187e0c17143a_Method">
    <vt:lpwstr>Privileged</vt:lpwstr>
  </property>
  <property fmtid="{D5CDD505-2E9C-101B-9397-08002B2CF9AE}" pid="8" name="MSIP_Label_3a2fed65-62e7-46ea-af74-187e0c17143a_Name">
    <vt:lpwstr>3a2fed65-62e7-46ea-af74-187e0c17143a</vt:lpwstr>
  </property>
  <property fmtid="{D5CDD505-2E9C-101B-9397-08002B2CF9AE}" pid="9" name="MSIP_Label_3a2fed65-62e7-46ea-af74-187e0c17143a_SiteId">
    <vt:lpwstr>d5fb7087-3777-42ad-966a-892ef47225d1</vt:lpwstr>
  </property>
  <property fmtid="{D5CDD505-2E9C-101B-9397-08002B2CF9AE}" pid="10" name="MSIP_Label_3a2fed65-62e7-46ea-af74-187e0c17143a_ActionId">
    <vt:lpwstr>f848eef4-ce1b-4966-aa1d-5d5e2da30d46</vt:lpwstr>
  </property>
  <property fmtid="{D5CDD505-2E9C-101B-9397-08002B2CF9AE}" pid="11" name="MSIP_Label_3a2fed65-62e7-46ea-af74-187e0c17143a_ContentBits">
    <vt:lpwstr>0</vt:lpwstr>
  </property>
  <property fmtid="{D5CDD505-2E9C-101B-9397-08002B2CF9AE}" pid="12" name="MSIP_Label_3a2fed65-62e7-46ea-af74-187e0c17143a_Tag">
    <vt:lpwstr>10, 0, 1, 1</vt:lpwstr>
  </property>
</Properties>
</file>