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6464"/>
        <w:gridCol w:w="3961"/>
        <w:gridCol w:w="2153"/>
        <w:gridCol w:w="1426"/>
      </w:tblGrid>
      <w:tr w:rsidR="00AD1772" w:rsidRPr="00903F99" w14:paraId="426831AA" w14:textId="77777777" w:rsidTr="00171D87">
        <w:trPr>
          <w:trHeight w:val="374"/>
          <w:tblHeader/>
          <w:jc w:val="center"/>
        </w:trPr>
        <w:tc>
          <w:tcPr>
            <w:tcW w:w="14011" w:type="dxa"/>
            <w:gridSpan w:val="5"/>
            <w:shd w:val="clear" w:color="auto" w:fill="00549E"/>
            <w:vAlign w:val="center"/>
            <w:hideMark/>
          </w:tcPr>
          <w:p w14:paraId="478B3474" w14:textId="3D304414" w:rsidR="00AD1772" w:rsidRPr="00903F99" w:rsidRDefault="00AD1772" w:rsidP="00171D87">
            <w:pPr>
              <w:pStyle w:val="HSAGTableHeading"/>
              <w:spacing w:before="0" w:after="0"/>
              <w:contextualSpacing/>
            </w:pPr>
            <w:r>
              <w:t>Standard I—Member Rights and Member Information</w:t>
            </w:r>
          </w:p>
        </w:tc>
      </w:tr>
      <w:tr w:rsidR="00AD1772" w:rsidRPr="0026679F" w14:paraId="5D5AF2B3" w14:textId="77777777" w:rsidTr="00AD1772">
        <w:trPr>
          <w:trHeight w:val="374"/>
          <w:tblHeader/>
          <w:jc w:val="center"/>
        </w:trPr>
        <w:tc>
          <w:tcPr>
            <w:tcW w:w="6471" w:type="dxa"/>
            <w:gridSpan w:val="2"/>
            <w:shd w:val="clear" w:color="auto" w:fill="DFECF7"/>
            <w:vAlign w:val="center"/>
            <w:hideMark/>
          </w:tcPr>
          <w:p w14:paraId="32461356" w14:textId="77777777" w:rsidR="00AD1772" w:rsidRPr="0026679F" w:rsidRDefault="00AD1772" w:rsidP="00171D87">
            <w:pPr>
              <w:pStyle w:val="HSAGTableHeading"/>
              <w:rPr>
                <w:color w:val="auto"/>
              </w:rPr>
            </w:pPr>
            <w:r w:rsidRPr="0026679F">
              <w:rPr>
                <w:color w:val="auto"/>
              </w:rPr>
              <w:t>Requirement</w:t>
            </w:r>
          </w:p>
        </w:tc>
        <w:tc>
          <w:tcPr>
            <w:tcW w:w="6114" w:type="dxa"/>
            <w:gridSpan w:val="2"/>
            <w:shd w:val="clear" w:color="auto" w:fill="DFECF7"/>
            <w:vAlign w:val="center"/>
            <w:hideMark/>
          </w:tcPr>
          <w:p w14:paraId="45609625" w14:textId="77777777" w:rsidR="00AD1772" w:rsidRPr="0026679F" w:rsidRDefault="00AD1772" w:rsidP="00171D87">
            <w:pPr>
              <w:pStyle w:val="HSAGTableHeading"/>
              <w:rPr>
                <w:color w:val="auto"/>
              </w:rPr>
            </w:pPr>
            <w:r w:rsidRPr="0026679F">
              <w:rPr>
                <w:color w:val="auto"/>
              </w:rPr>
              <w:t>Supporting Documentation</w:t>
            </w:r>
          </w:p>
        </w:tc>
        <w:tc>
          <w:tcPr>
            <w:tcW w:w="1426" w:type="dxa"/>
            <w:shd w:val="clear" w:color="auto" w:fill="DFECF7"/>
            <w:vAlign w:val="center"/>
            <w:hideMark/>
          </w:tcPr>
          <w:p w14:paraId="256CE35B" w14:textId="77777777" w:rsidR="00AD1772" w:rsidRPr="0026679F" w:rsidRDefault="00AD1772" w:rsidP="00171D87">
            <w:pPr>
              <w:pStyle w:val="HSAGTableHeading"/>
              <w:rPr>
                <w:color w:val="auto"/>
              </w:rPr>
            </w:pPr>
            <w:r w:rsidRPr="0026679F">
              <w:rPr>
                <w:color w:val="auto"/>
              </w:rPr>
              <w:t>Score</w:t>
            </w:r>
          </w:p>
        </w:tc>
      </w:tr>
      <w:tr w:rsidR="00AD1772" w:rsidRPr="00903F99" w14:paraId="05698192" w14:textId="77777777" w:rsidTr="00AD1772">
        <w:trPr>
          <w:trHeight w:val="374"/>
          <w:jc w:val="center"/>
        </w:trPr>
        <w:tc>
          <w:tcPr>
            <w:tcW w:w="6471" w:type="dxa"/>
            <w:gridSpan w:val="2"/>
            <w:vMerge w:val="restart"/>
          </w:tcPr>
          <w:p w14:paraId="040A31F4" w14:textId="77777777" w:rsidR="00AD1772" w:rsidRPr="008B5C7B" w:rsidRDefault="00AD1772" w:rsidP="00AD1772">
            <w:pPr>
              <w:pStyle w:val="ListNoNum"/>
              <w:rPr>
                <w:iCs/>
              </w:rPr>
            </w:pPr>
            <w:r w:rsidRPr="008B5C7B">
              <w:rPr>
                <w:spacing w:val="-4"/>
              </w:rPr>
              <w:t>6.</w:t>
            </w:r>
            <w:r w:rsidRPr="008B5C7B">
              <w:rPr>
                <w:spacing w:val="-4"/>
              </w:rPr>
              <w:tab/>
            </w:r>
            <w:r w:rsidRPr="008B5C7B">
              <w:rPr>
                <w:iCs/>
              </w:rPr>
              <w:t xml:space="preserve">The PIHP uses MDHHS-developed model member handbooks and member notices. </w:t>
            </w:r>
          </w:p>
          <w:p w14:paraId="162B013C" w14:textId="77777777" w:rsidR="00AD1772" w:rsidRPr="008B5C7B" w:rsidRDefault="00AD1772" w:rsidP="00AD1772">
            <w:pPr>
              <w:pStyle w:val="HSAGNumbers"/>
              <w:numPr>
                <w:ilvl w:val="0"/>
                <w:numId w:val="0"/>
              </w:numPr>
              <w:ind w:left="360" w:hanging="360"/>
              <w:contextualSpacing/>
              <w:jc w:val="right"/>
              <w:rPr>
                <w:iCs/>
                <w:sz w:val="18"/>
                <w:szCs w:val="18"/>
              </w:rPr>
            </w:pPr>
          </w:p>
          <w:p w14:paraId="0ADB18FE" w14:textId="77777777" w:rsidR="00AD1772" w:rsidRPr="008B5C7B" w:rsidRDefault="00AD1772" w:rsidP="00AD1772">
            <w:pPr>
              <w:pStyle w:val="HSAGNumbers"/>
              <w:numPr>
                <w:ilvl w:val="0"/>
                <w:numId w:val="0"/>
              </w:numPr>
              <w:ind w:left="360" w:hanging="360"/>
              <w:contextualSpacing/>
              <w:jc w:val="right"/>
              <w:rPr>
                <w:iCs/>
                <w:sz w:val="18"/>
                <w:szCs w:val="18"/>
              </w:rPr>
            </w:pPr>
            <w:r w:rsidRPr="008B5C7B">
              <w:rPr>
                <w:iCs/>
                <w:sz w:val="18"/>
                <w:szCs w:val="18"/>
              </w:rPr>
              <w:t>42 CFR §438.10(c)(4)(ii)</w:t>
            </w:r>
          </w:p>
          <w:p w14:paraId="125A729C" w14:textId="77777777" w:rsidR="00AD1772" w:rsidRPr="008B5C7B" w:rsidRDefault="00AD1772" w:rsidP="00A732BB">
            <w:pPr>
              <w:pStyle w:val="HSAGNumbers"/>
              <w:numPr>
                <w:ilvl w:val="0"/>
                <w:numId w:val="0"/>
              </w:numPr>
              <w:spacing w:after="0"/>
              <w:ind w:left="360" w:hanging="360"/>
              <w:contextualSpacing/>
              <w:jc w:val="right"/>
              <w:rPr>
                <w:sz w:val="18"/>
                <w:szCs w:val="18"/>
              </w:rPr>
            </w:pPr>
            <w:r w:rsidRPr="008B5C7B">
              <w:rPr>
                <w:sz w:val="18"/>
                <w:szCs w:val="18"/>
              </w:rPr>
              <w:t>42 CFR §457.1207</w:t>
            </w:r>
          </w:p>
          <w:p w14:paraId="051D924D" w14:textId="32EB9633" w:rsidR="00AD1772" w:rsidRPr="00903F99" w:rsidRDefault="00AD1772" w:rsidP="00AD1772">
            <w:pPr>
              <w:pStyle w:val="HSAGTableContracttext"/>
              <w:keepNext/>
              <w:spacing w:before="0" w:after="0"/>
              <w:ind w:left="1440"/>
              <w:contextualSpacing/>
              <w:rPr>
                <w:i w:val="0"/>
                <w:szCs w:val="18"/>
              </w:rPr>
            </w:pPr>
            <w:r w:rsidRPr="00A732BB">
              <w:rPr>
                <w:i w:val="0"/>
                <w:sz w:val="18"/>
                <w:szCs w:val="18"/>
              </w:rPr>
              <w:t>Contract Schedule A–1(B)(4)(k)(</w:t>
            </w:r>
            <w:proofErr w:type="spellStart"/>
            <w:r w:rsidRPr="00A732BB">
              <w:rPr>
                <w:i w:val="0"/>
                <w:sz w:val="18"/>
                <w:szCs w:val="18"/>
              </w:rPr>
              <w:t>i</w:t>
            </w:r>
            <w:proofErr w:type="spellEnd"/>
            <w:r w:rsidRPr="00A732BB">
              <w:rPr>
                <w:i w:val="0"/>
                <w:sz w:val="18"/>
                <w:szCs w:val="18"/>
              </w:rPr>
              <w:t>)</w:t>
            </w:r>
          </w:p>
        </w:tc>
        <w:tc>
          <w:tcPr>
            <w:tcW w:w="6114" w:type="dxa"/>
            <w:gridSpan w:val="2"/>
            <w:shd w:val="clear" w:color="auto" w:fill="FFFFFF" w:themeFill="background1"/>
          </w:tcPr>
          <w:p w14:paraId="12EDFFF7" w14:textId="77777777" w:rsidR="00AD1772" w:rsidRPr="008B5C7B" w:rsidRDefault="00AD1772" w:rsidP="00AD1772">
            <w:pPr>
              <w:pStyle w:val="HSAGTableText"/>
              <w:contextualSpacing/>
              <w:rPr>
                <w:b/>
                <w:bCs/>
              </w:rPr>
            </w:pPr>
            <w:r w:rsidRPr="008B5C7B">
              <w:rPr>
                <w:b/>
                <w:bCs/>
              </w:rPr>
              <w:t>HSAG Required Evidence:</w:t>
            </w:r>
          </w:p>
          <w:p w14:paraId="4F816D9D" w14:textId="77777777" w:rsidR="00AD1772" w:rsidRPr="008B5C7B" w:rsidRDefault="00AD1772" w:rsidP="00AD1772">
            <w:pPr>
              <w:pStyle w:val="HSAGTableText"/>
              <w:numPr>
                <w:ilvl w:val="0"/>
                <w:numId w:val="24"/>
              </w:numPr>
              <w:contextualSpacing/>
            </w:pPr>
            <w:r w:rsidRPr="008B5C7B">
              <w:t>Policies and procedures</w:t>
            </w:r>
          </w:p>
          <w:p w14:paraId="0620DA2A" w14:textId="77777777" w:rsidR="00AD1772" w:rsidRDefault="00AD1772" w:rsidP="00AD1772">
            <w:pPr>
              <w:pStyle w:val="HSAGTableText"/>
              <w:numPr>
                <w:ilvl w:val="0"/>
                <w:numId w:val="24"/>
              </w:numPr>
              <w:contextualSpacing/>
            </w:pPr>
            <w:r w:rsidRPr="008B5C7B">
              <w:t>Member materials, such as the member handbook</w:t>
            </w:r>
          </w:p>
          <w:p w14:paraId="5A823C35" w14:textId="08DFA09A" w:rsidR="00AD1772" w:rsidRPr="00903F99" w:rsidRDefault="00AD1772" w:rsidP="00AD1772">
            <w:pPr>
              <w:pStyle w:val="HSAGTableText"/>
              <w:numPr>
                <w:ilvl w:val="0"/>
                <w:numId w:val="24"/>
              </w:numPr>
              <w:contextualSpacing/>
            </w:pPr>
            <w:r w:rsidRPr="008B5C7B">
              <w:t>Member notice templates, such as adverse benefit determination (ABD) notices, and grievance and appeal letter templates</w:t>
            </w:r>
          </w:p>
        </w:tc>
        <w:tc>
          <w:tcPr>
            <w:tcW w:w="1426" w:type="dxa"/>
            <w:vMerge w:val="restart"/>
            <w:shd w:val="clear" w:color="auto" w:fill="FFFFFF" w:themeFill="background1"/>
          </w:tcPr>
          <w:p w14:paraId="1E118B27" w14:textId="77777777" w:rsidR="00AD1772" w:rsidRPr="008B5C7B" w:rsidRDefault="00000000" w:rsidP="00AD1772">
            <w:pPr>
              <w:spacing w:before="60" w:after="0"/>
              <w:contextualSpacing/>
              <w:rPr>
                <w:sz w:val="22"/>
              </w:rPr>
            </w:pPr>
            <w:sdt>
              <w:sdtPr>
                <w:rPr>
                  <w:sz w:val="22"/>
                </w:rPr>
                <w:id w:val="-1126853093"/>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Met</w:t>
            </w:r>
          </w:p>
          <w:p w14:paraId="22142B8A" w14:textId="77777777" w:rsidR="00AD1772" w:rsidRPr="008B5C7B" w:rsidRDefault="00000000" w:rsidP="00AD1772">
            <w:pPr>
              <w:spacing w:before="60" w:after="0"/>
              <w:contextualSpacing/>
              <w:rPr>
                <w:sz w:val="22"/>
              </w:rPr>
            </w:pPr>
            <w:sdt>
              <w:sdtPr>
                <w:rPr>
                  <w:sz w:val="22"/>
                </w:rPr>
                <w:id w:val="-215972620"/>
                <w14:checkbox>
                  <w14:checked w14:val="1"/>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Not Met</w:t>
            </w:r>
          </w:p>
          <w:p w14:paraId="7AD714D6" w14:textId="77777777" w:rsidR="00AD1772" w:rsidRPr="008B5C7B" w:rsidRDefault="00000000" w:rsidP="00AD1772">
            <w:pPr>
              <w:spacing w:before="60" w:after="0"/>
              <w:contextualSpacing/>
              <w:rPr>
                <w:sz w:val="22"/>
              </w:rPr>
            </w:pPr>
            <w:sdt>
              <w:sdtPr>
                <w:rPr>
                  <w:sz w:val="22"/>
                </w:rPr>
                <w:id w:val="-363057383"/>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NA</w:t>
            </w:r>
          </w:p>
          <w:p w14:paraId="514CABD9" w14:textId="77777777" w:rsidR="00AD1772" w:rsidRPr="00903F99" w:rsidRDefault="00AD1772" w:rsidP="00AD1772">
            <w:pPr>
              <w:spacing w:before="0" w:after="0"/>
              <w:contextualSpacing/>
              <w:rPr>
                <w:sz w:val="22"/>
              </w:rPr>
            </w:pPr>
          </w:p>
        </w:tc>
      </w:tr>
      <w:tr w:rsidR="00AD1772" w:rsidRPr="00903F99" w14:paraId="012FDB50" w14:textId="77777777" w:rsidTr="00AD1772">
        <w:trPr>
          <w:trHeight w:val="374"/>
          <w:jc w:val="center"/>
        </w:trPr>
        <w:tc>
          <w:tcPr>
            <w:tcW w:w="6471" w:type="dxa"/>
            <w:gridSpan w:val="2"/>
            <w:vMerge/>
          </w:tcPr>
          <w:p w14:paraId="3B9C7A6F" w14:textId="77777777" w:rsidR="00AD1772" w:rsidRPr="00903F99" w:rsidRDefault="00AD1772" w:rsidP="00AD1772">
            <w:pPr>
              <w:pStyle w:val="HSAGNumbers"/>
              <w:numPr>
                <w:ilvl w:val="0"/>
                <w:numId w:val="17"/>
              </w:numPr>
              <w:spacing w:before="0" w:after="0"/>
              <w:contextualSpacing/>
            </w:pPr>
          </w:p>
        </w:tc>
        <w:tc>
          <w:tcPr>
            <w:tcW w:w="6114" w:type="dxa"/>
            <w:gridSpan w:val="2"/>
            <w:shd w:val="clear" w:color="auto" w:fill="FFFFFF" w:themeFill="background1"/>
          </w:tcPr>
          <w:p w14:paraId="28474F6D" w14:textId="77777777" w:rsidR="00AD1772" w:rsidRPr="008B5C7B" w:rsidRDefault="00AD1772" w:rsidP="00AD1772">
            <w:pPr>
              <w:pStyle w:val="HSAGTableText"/>
              <w:keepNext/>
              <w:contextualSpacing/>
              <w:rPr>
                <w:b/>
                <w:bCs/>
              </w:rPr>
            </w:pPr>
            <w:r w:rsidRPr="008B5C7B">
              <w:rPr>
                <w:b/>
                <w:bCs/>
              </w:rPr>
              <w:t>Evidence as Submitted by the PIHP:</w:t>
            </w:r>
          </w:p>
          <w:p w14:paraId="52BEE1D6" w14:textId="77777777" w:rsidR="00AD1772" w:rsidRPr="008B5C7B" w:rsidRDefault="00AD1772" w:rsidP="00AD1772">
            <w:pPr>
              <w:pStyle w:val="HSAGTableText"/>
              <w:numPr>
                <w:ilvl w:val="0"/>
                <w:numId w:val="27"/>
              </w:numPr>
              <w:contextualSpacing/>
            </w:pPr>
            <w:r w:rsidRPr="008B5C7B">
              <w:t>S1_E6_Appeal Letter of Decision Denied Template</w:t>
            </w:r>
          </w:p>
          <w:p w14:paraId="7FEAB564" w14:textId="77777777" w:rsidR="00AD1772" w:rsidRPr="008B5C7B" w:rsidRDefault="00AD1772" w:rsidP="00AD1772">
            <w:pPr>
              <w:pStyle w:val="HSAGTableText"/>
              <w:numPr>
                <w:ilvl w:val="0"/>
                <w:numId w:val="27"/>
              </w:numPr>
              <w:contextualSpacing/>
            </w:pPr>
            <w:r w:rsidRPr="008B5C7B">
              <w:t>S1_E6_NOTICE OF ADVERSE BENEFIT DETERMINATION Template 24</w:t>
            </w:r>
          </w:p>
          <w:p w14:paraId="6A3DB7AF" w14:textId="77777777" w:rsidR="00AD1772" w:rsidRPr="008B5C7B" w:rsidRDefault="00AD1772" w:rsidP="00AD1772">
            <w:pPr>
              <w:pStyle w:val="HSAGTableText"/>
              <w:numPr>
                <w:ilvl w:val="0"/>
                <w:numId w:val="27"/>
              </w:numPr>
              <w:contextualSpacing/>
            </w:pPr>
            <w:r w:rsidRPr="008B5C7B">
              <w:t>Guide_to_SVCS_FY23</w:t>
            </w:r>
          </w:p>
          <w:p w14:paraId="5CBCA63D" w14:textId="77777777" w:rsidR="00AD1772" w:rsidRPr="008B5C7B" w:rsidRDefault="00AD1772" w:rsidP="00AD1772">
            <w:pPr>
              <w:pStyle w:val="HSAGTableText"/>
              <w:numPr>
                <w:ilvl w:val="0"/>
                <w:numId w:val="27"/>
              </w:numPr>
              <w:contextualSpacing/>
            </w:pPr>
            <w:r w:rsidRPr="008B5C7B">
              <w:t>S1_E6_Grievance Letter of Receipt Template</w:t>
            </w:r>
          </w:p>
          <w:p w14:paraId="4C42610E" w14:textId="77777777" w:rsidR="00AD1772" w:rsidRPr="008B5C7B" w:rsidRDefault="00AD1772" w:rsidP="00AD1772">
            <w:pPr>
              <w:pStyle w:val="HSAGTableText"/>
              <w:numPr>
                <w:ilvl w:val="0"/>
                <w:numId w:val="27"/>
              </w:numPr>
              <w:contextualSpacing/>
            </w:pPr>
            <w:r w:rsidRPr="008B5C7B">
              <w:t>S1_E6_Grievance Letter of Decision Template</w:t>
            </w:r>
          </w:p>
          <w:p w14:paraId="29922955" w14:textId="77777777" w:rsidR="00AD1772" w:rsidRPr="008B5C7B" w:rsidRDefault="00AD1772" w:rsidP="00AD1772">
            <w:pPr>
              <w:pStyle w:val="HSAGTableText"/>
              <w:numPr>
                <w:ilvl w:val="0"/>
                <w:numId w:val="27"/>
              </w:numPr>
              <w:contextualSpacing/>
            </w:pPr>
            <w:r w:rsidRPr="008B5C7B">
              <w:t>S1_E6_Customer Handbook Policy; Page 2, D, E, G</w:t>
            </w:r>
          </w:p>
          <w:p w14:paraId="67487426" w14:textId="77777777" w:rsidR="00AD1772" w:rsidRPr="008B5C7B" w:rsidRDefault="00AD1772" w:rsidP="00AD1772">
            <w:pPr>
              <w:pStyle w:val="HSAGTableText"/>
              <w:numPr>
                <w:ilvl w:val="0"/>
                <w:numId w:val="27"/>
              </w:numPr>
              <w:contextualSpacing/>
            </w:pPr>
            <w:r w:rsidRPr="008B5C7B">
              <w:t>S1_E6_Appeal Letter of Receipt Template</w:t>
            </w:r>
          </w:p>
          <w:p w14:paraId="42F16480" w14:textId="77777777" w:rsidR="00AD1772" w:rsidRDefault="00AD1772" w:rsidP="00AD1772">
            <w:pPr>
              <w:pStyle w:val="HSAGTableText"/>
              <w:numPr>
                <w:ilvl w:val="0"/>
                <w:numId w:val="27"/>
              </w:numPr>
              <w:contextualSpacing/>
            </w:pPr>
            <w:r w:rsidRPr="008B5C7B">
              <w:t>S1_E6_Appeal Letter of Decision Template</w:t>
            </w:r>
          </w:p>
          <w:p w14:paraId="7D11B73B" w14:textId="21833E15" w:rsidR="00AD1772" w:rsidRPr="00903F99" w:rsidRDefault="00AD1772" w:rsidP="00AD1772">
            <w:pPr>
              <w:pStyle w:val="HSAGTableText"/>
              <w:numPr>
                <w:ilvl w:val="0"/>
                <w:numId w:val="27"/>
              </w:numPr>
              <w:contextualSpacing/>
            </w:pPr>
            <w:r w:rsidRPr="008B5C7B">
              <w:t>S 1_E6_Template  Tag Lines</w:t>
            </w:r>
          </w:p>
        </w:tc>
        <w:tc>
          <w:tcPr>
            <w:tcW w:w="1426" w:type="dxa"/>
            <w:vMerge/>
            <w:shd w:val="clear" w:color="auto" w:fill="FFFFFF" w:themeFill="background1"/>
          </w:tcPr>
          <w:p w14:paraId="2BAF5A81" w14:textId="77777777" w:rsidR="00AD1772" w:rsidRPr="00903F99" w:rsidRDefault="00AD1772" w:rsidP="00AD1772">
            <w:pPr>
              <w:spacing w:before="0" w:after="0"/>
              <w:contextualSpacing/>
              <w:rPr>
                <w:sz w:val="22"/>
              </w:rPr>
            </w:pPr>
          </w:p>
        </w:tc>
      </w:tr>
      <w:tr w:rsidR="00AD1772" w:rsidRPr="00903F99" w14:paraId="43CF1613" w14:textId="77777777" w:rsidTr="00171D87">
        <w:trPr>
          <w:trHeight w:val="374"/>
          <w:jc w:val="center"/>
        </w:trPr>
        <w:tc>
          <w:tcPr>
            <w:tcW w:w="14011" w:type="dxa"/>
            <w:gridSpan w:val="5"/>
            <w:vAlign w:val="center"/>
          </w:tcPr>
          <w:p w14:paraId="23FD3460" w14:textId="46CBC1B7" w:rsidR="00AD1772" w:rsidRPr="00903F99" w:rsidRDefault="00AD1772" w:rsidP="00AD1772">
            <w:pPr>
              <w:pStyle w:val="HSAGTableText"/>
              <w:spacing w:before="0" w:after="0"/>
            </w:pPr>
            <w:r w:rsidRPr="008B5C7B">
              <w:rPr>
                <w:b/>
              </w:rPr>
              <w:t>PIHP Description of Process:</w:t>
            </w:r>
            <w:r w:rsidRPr="008B5C7B">
              <w:t xml:space="preserve"> </w:t>
            </w:r>
          </w:p>
        </w:tc>
      </w:tr>
      <w:tr w:rsidR="00AD1772" w:rsidRPr="0026679F" w14:paraId="50CFD732" w14:textId="77777777" w:rsidTr="00171D87">
        <w:trPr>
          <w:trHeight w:val="374"/>
          <w:jc w:val="center"/>
        </w:trPr>
        <w:tc>
          <w:tcPr>
            <w:tcW w:w="14011" w:type="dxa"/>
            <w:gridSpan w:val="5"/>
            <w:tcBorders>
              <w:bottom w:val="single" w:sz="4" w:space="0" w:color="000000"/>
            </w:tcBorders>
            <w:vAlign w:val="center"/>
          </w:tcPr>
          <w:p w14:paraId="7A8EBC04" w14:textId="11D35FA7" w:rsidR="00AD1772" w:rsidRPr="0026679F" w:rsidRDefault="00AD1772" w:rsidP="00AD1772">
            <w:pPr>
              <w:pStyle w:val="HSAGTableText"/>
              <w:spacing w:before="0"/>
            </w:pPr>
            <w:r w:rsidRPr="008B5C7B">
              <w:rPr>
                <w:b/>
              </w:rPr>
              <w:t>HSAG Findings:</w:t>
            </w:r>
            <w:r w:rsidRPr="008B5C7B">
              <w:t xml:space="preserve"> The PIHP’s member handbook did not include </w:t>
            </w:r>
            <w:proofErr w:type="gramStart"/>
            <w:r w:rsidRPr="008B5C7B">
              <w:t>all of</w:t>
            </w:r>
            <w:proofErr w:type="gramEnd"/>
            <w:r w:rsidRPr="008B5C7B">
              <w:t xml:space="preserve"> the items in the MDHHS-developed model member handbook, </w:t>
            </w:r>
            <w:r w:rsidRPr="008B5C7B">
              <w:rPr>
                <w:i/>
                <w:iCs/>
              </w:rPr>
              <w:t>Template #6: Language Assistance and Accommodations</w:t>
            </w:r>
            <w:r w:rsidRPr="008B5C7B">
              <w:t xml:space="preserve"> of the </w:t>
            </w:r>
            <w:r w:rsidRPr="008B5C7B">
              <w:rPr>
                <w:i/>
                <w:iCs/>
              </w:rPr>
              <w:t>PIHP Customer Service Standards</w:t>
            </w:r>
            <w:r w:rsidRPr="008B5C7B">
              <w:t xml:space="preserve">; specifically, the PIHP’s member handbook did not include information about Computer Assisted Realtime Translation (CART). The PIHP’s member handbook also did not include </w:t>
            </w:r>
            <w:proofErr w:type="gramStart"/>
            <w:r w:rsidRPr="008B5C7B">
              <w:t>all of</w:t>
            </w:r>
            <w:proofErr w:type="gramEnd"/>
            <w:r w:rsidRPr="008B5C7B">
              <w:t xml:space="preserve"> the information in </w:t>
            </w:r>
            <w:r w:rsidRPr="008B5C7B">
              <w:rPr>
                <w:i/>
                <w:iCs/>
              </w:rPr>
              <w:t>Template #11: Service Array</w:t>
            </w:r>
            <w:r w:rsidRPr="008B5C7B">
              <w:t xml:space="preserve">; specifically, the PIHP’s member handbook did not include the service descriptions for the “Home and Community Based Services Rule (HCBS)” and Intermediate Care Facility for Individuals with Intellectual Disabilities (ICF/IID). After further review and discussion among HSAG reviewers following the site review, it was determined to score this element as </w:t>
            </w:r>
            <w:r w:rsidRPr="008B5C7B">
              <w:rPr>
                <w:i/>
                <w:iCs/>
              </w:rPr>
              <w:t>Not Met</w:t>
            </w:r>
            <w:r w:rsidRPr="008B5C7B">
              <w:t xml:space="preserve"> to ensure that the PIHP’s member handbook fully aligns to the MDHHS-developed model member handbook as required. </w:t>
            </w:r>
          </w:p>
        </w:tc>
      </w:tr>
      <w:tr w:rsidR="00AD1772" w:rsidRPr="0026679F" w14:paraId="42E4D0A0" w14:textId="77777777" w:rsidTr="00171D87">
        <w:trPr>
          <w:trHeight w:val="374"/>
          <w:jc w:val="center"/>
        </w:trPr>
        <w:tc>
          <w:tcPr>
            <w:tcW w:w="14011" w:type="dxa"/>
            <w:gridSpan w:val="5"/>
            <w:tcBorders>
              <w:top w:val="single" w:sz="4" w:space="0" w:color="000000"/>
              <w:bottom w:val="single" w:sz="4" w:space="0" w:color="auto"/>
            </w:tcBorders>
            <w:vAlign w:val="center"/>
          </w:tcPr>
          <w:p w14:paraId="507F68D0" w14:textId="750938CC" w:rsidR="00AD1772" w:rsidRPr="0026679F" w:rsidRDefault="00AD1772" w:rsidP="00AD1772">
            <w:pPr>
              <w:pStyle w:val="HSAGTableText"/>
              <w:rPr>
                <w:b/>
              </w:rPr>
            </w:pPr>
            <w:r w:rsidRPr="008B5C7B">
              <w:rPr>
                <w:b/>
              </w:rPr>
              <w:t>Required Actions:</w:t>
            </w:r>
            <w:r w:rsidRPr="008B5C7B">
              <w:t xml:space="preserve"> The PIHP must use </w:t>
            </w:r>
            <w:r w:rsidRPr="008B5C7B">
              <w:rPr>
                <w:iCs/>
              </w:rPr>
              <w:t xml:space="preserve">MDHHS-developed model member handbooks and member notices and ensure that the PIHP’s member handbook and member notices include all MDHHS-developed template language. </w:t>
            </w:r>
          </w:p>
        </w:tc>
      </w:tr>
      <w:tr w:rsidR="00AD1772" w:rsidRPr="00D16F05" w14:paraId="0FCBA70C" w14:textId="77777777" w:rsidTr="00171D87">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5F245487" w14:textId="77777777" w:rsidR="00AD1772" w:rsidRPr="00D16F05" w:rsidRDefault="00AD1772" w:rsidP="00171D87">
            <w:pPr>
              <w:pStyle w:val="HSAGTableText"/>
              <w:keepNext/>
              <w:contextualSpacing/>
              <w:rPr>
                <w:b/>
              </w:rPr>
            </w:pPr>
            <w:r>
              <w:rPr>
                <w:b/>
              </w:rPr>
              <w:lastRenderedPageBreak/>
              <w:t>PIHP Corrective Action Plan</w:t>
            </w:r>
          </w:p>
        </w:tc>
      </w:tr>
      <w:tr w:rsidR="00AD1772" w:rsidRPr="00984D92" w14:paraId="71289DA7"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12D42F55" w14:textId="09A46C8F" w:rsidR="00AD1772" w:rsidRPr="00984D92" w:rsidRDefault="00AD1772" w:rsidP="00171D87">
            <w:pPr>
              <w:pStyle w:val="HSAGTableText"/>
              <w:contextualSpacing/>
              <w:rPr>
                <w:bCs/>
              </w:rPr>
            </w:pPr>
            <w:r>
              <w:rPr>
                <w:b/>
              </w:rPr>
              <w:t>Root Cause Analysis:</w:t>
            </w:r>
            <w:r w:rsidRPr="003F5489">
              <w:rPr>
                <w:bCs/>
              </w:rPr>
              <w:t xml:space="preserve"> </w:t>
            </w:r>
            <w:r w:rsidR="00DA5835">
              <w:rPr>
                <w:bCs/>
              </w:rPr>
              <w:t xml:space="preserve">Lack of communication and training for new staff </w:t>
            </w:r>
            <w:proofErr w:type="gramStart"/>
            <w:r w:rsidR="00DA5835">
              <w:rPr>
                <w:bCs/>
              </w:rPr>
              <w:t>to</w:t>
            </w:r>
            <w:proofErr w:type="gramEnd"/>
            <w:r w:rsidR="00DA5835">
              <w:rPr>
                <w:bCs/>
              </w:rPr>
              <w:t xml:space="preserve"> the position</w:t>
            </w:r>
          </w:p>
        </w:tc>
      </w:tr>
      <w:tr w:rsidR="00AD1772" w:rsidRPr="00FC2C0F" w14:paraId="120E0E06"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3E34FE56" w14:textId="286B8846" w:rsidR="00AD1772" w:rsidRPr="00FC2C0F" w:rsidRDefault="00AD1772" w:rsidP="00171D87">
            <w:pPr>
              <w:pStyle w:val="HSAGTableText"/>
              <w:contextualSpacing/>
              <w:rPr>
                <w:bCs/>
              </w:rPr>
            </w:pPr>
            <w:r>
              <w:rPr>
                <w:b/>
              </w:rPr>
              <w:t>PIHP Remediation Plan</w:t>
            </w:r>
            <w:r w:rsidRPr="00B30934">
              <w:rPr>
                <w:b/>
              </w:rPr>
              <w:t>:</w:t>
            </w:r>
            <w:r>
              <w:rPr>
                <w:bCs/>
              </w:rPr>
              <w:t xml:space="preserve"> </w:t>
            </w:r>
            <w:r w:rsidR="00DB45D7" w:rsidRPr="008B5C7B">
              <w:t xml:space="preserve">The </w:t>
            </w:r>
            <w:r w:rsidR="00DB45D7">
              <w:t>NMRE has updated the member handbook and will use</w:t>
            </w:r>
            <w:r w:rsidR="00DB45D7" w:rsidRPr="008B5C7B">
              <w:t xml:space="preserve"> </w:t>
            </w:r>
            <w:r w:rsidR="00DB45D7" w:rsidRPr="008B5C7B">
              <w:rPr>
                <w:iCs/>
              </w:rPr>
              <w:t>MDHHS-developed model member handbooks and member notices and ensure that the PIHP’s member handbook and member notices include all MDHHS-developed template language.</w:t>
            </w:r>
          </w:p>
        </w:tc>
      </w:tr>
      <w:tr w:rsidR="00AD1772" w:rsidRPr="00FC2C0F" w14:paraId="74EEDD65"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403CBB6B" w14:textId="50F8EB94" w:rsidR="00AD1772" w:rsidRPr="00FC2C0F" w:rsidRDefault="00AD1772" w:rsidP="00171D87">
            <w:pPr>
              <w:pStyle w:val="HSAGTableText"/>
              <w:contextualSpacing/>
              <w:rPr>
                <w:bCs/>
              </w:rPr>
            </w:pPr>
            <w:r w:rsidRPr="00B30934">
              <w:rPr>
                <w:b/>
              </w:rPr>
              <w:t>Responsible Individual(s):</w:t>
            </w:r>
            <w:r>
              <w:rPr>
                <w:bCs/>
              </w:rPr>
              <w:t xml:space="preserve"> </w:t>
            </w:r>
            <w:r w:rsidR="00DB45D7">
              <w:rPr>
                <w:bCs/>
              </w:rPr>
              <w:t>Brie Blaauw-Molaison</w:t>
            </w:r>
            <w:r w:rsidR="00DA5835">
              <w:rPr>
                <w:bCs/>
              </w:rPr>
              <w:t>, Compliance and Customer Services Officer/Regional SUD Recipient Rights Officer</w:t>
            </w:r>
          </w:p>
        </w:tc>
      </w:tr>
      <w:tr w:rsidR="00AD1772" w:rsidRPr="00FC2C0F" w14:paraId="2DDD19DE"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0AB0709E" w14:textId="1B5FB09A" w:rsidR="00AD1772" w:rsidRPr="00FC2C0F" w:rsidRDefault="00AD1772" w:rsidP="00171D87">
            <w:pPr>
              <w:pStyle w:val="HSAGTableText"/>
              <w:contextualSpacing/>
              <w:rPr>
                <w:bCs/>
              </w:rPr>
            </w:pPr>
            <w:r w:rsidRPr="00B30934">
              <w:rPr>
                <w:b/>
              </w:rPr>
              <w:t>Timeline:</w:t>
            </w:r>
            <w:r>
              <w:rPr>
                <w:bCs/>
              </w:rPr>
              <w:t xml:space="preserve"> </w:t>
            </w:r>
            <w:r w:rsidR="00DA5835">
              <w:rPr>
                <w:bCs/>
              </w:rPr>
              <w:t xml:space="preserve">Handbook updates were completed </w:t>
            </w:r>
            <w:r w:rsidR="00A6225E">
              <w:rPr>
                <w:bCs/>
              </w:rPr>
              <w:t xml:space="preserve">by NMRE </w:t>
            </w:r>
            <w:r w:rsidR="00DA5835">
              <w:rPr>
                <w:bCs/>
              </w:rPr>
              <w:t>in November</w:t>
            </w:r>
            <w:r w:rsidR="0061535D">
              <w:rPr>
                <w:bCs/>
              </w:rPr>
              <w:t xml:space="preserve"> 2024</w:t>
            </w:r>
            <w:r w:rsidR="00B40E60">
              <w:rPr>
                <w:bCs/>
              </w:rPr>
              <w:t>,</w:t>
            </w:r>
            <w:r w:rsidR="00DA5835">
              <w:rPr>
                <w:bCs/>
              </w:rPr>
              <w:t xml:space="preserve"> sent to MDHHS and </w:t>
            </w:r>
            <w:r w:rsidR="00A6225E">
              <w:rPr>
                <w:bCs/>
              </w:rPr>
              <w:t xml:space="preserve">are </w:t>
            </w:r>
            <w:r w:rsidR="00DA5835">
              <w:rPr>
                <w:bCs/>
              </w:rPr>
              <w:t xml:space="preserve">awaiting </w:t>
            </w:r>
            <w:r w:rsidR="00A6225E">
              <w:rPr>
                <w:bCs/>
              </w:rPr>
              <w:t xml:space="preserve">final </w:t>
            </w:r>
            <w:r w:rsidR="00DA5835">
              <w:rPr>
                <w:bCs/>
              </w:rPr>
              <w:t>approval</w:t>
            </w:r>
          </w:p>
        </w:tc>
      </w:tr>
      <w:tr w:rsidR="00AD1772" w14:paraId="73987126" w14:textId="77777777" w:rsidTr="00AD1772">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16362388" w14:textId="77777777" w:rsidR="00AD1772" w:rsidRPr="00FC2C0F" w:rsidRDefault="00AD1772" w:rsidP="00171D87">
            <w:pPr>
              <w:pStyle w:val="HSAGTableText"/>
              <w:contextualSpacing/>
              <w:rPr>
                <w:bCs/>
              </w:rPr>
            </w:pPr>
            <w:r>
              <w:rPr>
                <w:b/>
              </w:rPr>
              <w:t>MDHHS/HSAG Response:</w:t>
            </w:r>
            <w:r>
              <w:rPr>
                <w:bCs/>
              </w:rPr>
              <w:t xml:space="preserve"> </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35FDCFA1" w14:textId="77777777" w:rsidR="00AD1772" w:rsidRPr="00C123EE" w:rsidRDefault="00000000" w:rsidP="00171D87">
            <w:pPr>
              <w:pStyle w:val="HSAGTableText"/>
              <w:contextualSpacing/>
              <w:rPr>
                <w:bCs/>
              </w:rPr>
            </w:pPr>
            <w:sdt>
              <w:sdtPr>
                <w:rPr>
                  <w:bCs/>
                </w:rPr>
                <w:id w:val="1903400385"/>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Accepted</w:t>
            </w:r>
          </w:p>
          <w:p w14:paraId="6513284E" w14:textId="77777777" w:rsidR="00AD1772" w:rsidRPr="00C123EE" w:rsidRDefault="00000000" w:rsidP="00171D87">
            <w:pPr>
              <w:pStyle w:val="HSAGTableText"/>
              <w:contextualSpacing/>
              <w:rPr>
                <w:bCs/>
              </w:rPr>
            </w:pPr>
            <w:sdt>
              <w:sdtPr>
                <w:rPr>
                  <w:bCs/>
                </w:rPr>
                <w:id w:val="1828778567"/>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Accepted </w:t>
            </w:r>
            <w:r w:rsidR="00AD1772">
              <w:rPr>
                <w:bCs/>
              </w:rPr>
              <w:t>W</w:t>
            </w:r>
            <w:r w:rsidR="00AD1772" w:rsidRPr="00C123EE">
              <w:rPr>
                <w:bCs/>
              </w:rPr>
              <w:t>ith Recommendations</w:t>
            </w:r>
          </w:p>
          <w:p w14:paraId="2AFE29DB" w14:textId="77777777" w:rsidR="00AD1772" w:rsidRDefault="00000000" w:rsidP="00171D87">
            <w:pPr>
              <w:pStyle w:val="HSAGTableText"/>
              <w:contextualSpacing/>
              <w:rPr>
                <w:b/>
              </w:rPr>
            </w:pPr>
            <w:sdt>
              <w:sdtPr>
                <w:rPr>
                  <w:bCs/>
                </w:rPr>
                <w:id w:val="227969316"/>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Not Accepted</w:t>
            </w:r>
          </w:p>
        </w:tc>
      </w:tr>
      <w:tr w:rsidR="00AD1772" w:rsidRPr="00903F99" w14:paraId="5402D4FD" w14:textId="77777777" w:rsidTr="00AD1772">
        <w:trPr>
          <w:trHeight w:val="374"/>
          <w:jc w:val="center"/>
        </w:trPr>
        <w:tc>
          <w:tcPr>
            <w:tcW w:w="6471" w:type="dxa"/>
            <w:gridSpan w:val="2"/>
            <w:vMerge w:val="restart"/>
          </w:tcPr>
          <w:p w14:paraId="7F003E04" w14:textId="77777777" w:rsidR="00AD1772" w:rsidRPr="008B5C7B" w:rsidRDefault="00AD1772" w:rsidP="0030569C">
            <w:pPr>
              <w:pStyle w:val="ListNoNum"/>
              <w:rPr>
                <w:iCs/>
                <w:sz w:val="18"/>
                <w:szCs w:val="18"/>
              </w:rPr>
            </w:pPr>
            <w:r w:rsidRPr="008B5C7B">
              <w:rPr>
                <w:spacing w:val="-4"/>
              </w:rPr>
              <w:t>10.</w:t>
            </w:r>
            <w:r w:rsidRPr="008B5C7B">
              <w:rPr>
                <w:spacing w:val="-4"/>
              </w:rPr>
              <w:tab/>
            </w:r>
            <w:r w:rsidRPr="008B5C7B">
              <w:rPr>
                <w:iCs/>
              </w:rPr>
              <w:t>The PIHP provides all written materials for potential members and members consistent with the following:</w:t>
            </w:r>
          </w:p>
          <w:p w14:paraId="475812C5" w14:textId="77777777" w:rsidR="00AD1772" w:rsidRPr="008B5C7B" w:rsidRDefault="00AD1772" w:rsidP="00AD1772">
            <w:pPr>
              <w:pStyle w:val="ListNoNum2"/>
              <w:rPr>
                <w:iCs/>
              </w:rPr>
            </w:pPr>
            <w:r w:rsidRPr="008B5C7B">
              <w:t xml:space="preserve">a. </w:t>
            </w:r>
            <w:r w:rsidRPr="008B5C7B">
              <w:tab/>
            </w:r>
            <w:r w:rsidRPr="008B5C7B">
              <w:rPr>
                <w:iCs/>
              </w:rPr>
              <w:t>Use easily understood language and format.</w:t>
            </w:r>
          </w:p>
          <w:p w14:paraId="18D4D806" w14:textId="77777777" w:rsidR="00AD1772" w:rsidRPr="008B5C7B" w:rsidRDefault="00AD1772" w:rsidP="00AD1772">
            <w:pPr>
              <w:pStyle w:val="ListNoNum2"/>
              <w:rPr>
                <w:iCs/>
              </w:rPr>
            </w:pPr>
            <w:r w:rsidRPr="008B5C7B">
              <w:t xml:space="preserve">b. </w:t>
            </w:r>
            <w:r w:rsidRPr="008B5C7B">
              <w:tab/>
            </w:r>
            <w:r w:rsidRPr="008B5C7B">
              <w:rPr>
                <w:i/>
              </w:rPr>
              <w:t>Written at or below the 6.9 grade reading level when possible (i.e., in some situations it is necessary to include medications, diagnosis, and conditions that do not meet the 6.9 grade reading level criteria).</w:t>
            </w:r>
          </w:p>
          <w:p w14:paraId="38702A75" w14:textId="77777777" w:rsidR="00AD1772" w:rsidRPr="008B5C7B" w:rsidRDefault="00AD1772" w:rsidP="00AD1772">
            <w:pPr>
              <w:pStyle w:val="ListNoNum2"/>
              <w:rPr>
                <w:iCs/>
              </w:rPr>
            </w:pPr>
            <w:r w:rsidRPr="008B5C7B">
              <w:t xml:space="preserve">c. </w:t>
            </w:r>
            <w:r w:rsidRPr="008B5C7B">
              <w:tab/>
            </w:r>
            <w:r w:rsidRPr="008B5C7B">
              <w:rPr>
                <w:iCs/>
              </w:rPr>
              <w:t xml:space="preserve">Use a font size no smaller than 12 </w:t>
            </w:r>
            <w:proofErr w:type="gramStart"/>
            <w:r w:rsidRPr="008B5C7B">
              <w:rPr>
                <w:iCs/>
              </w:rPr>
              <w:t>point</w:t>
            </w:r>
            <w:proofErr w:type="gramEnd"/>
            <w:r w:rsidRPr="008B5C7B">
              <w:rPr>
                <w:iCs/>
              </w:rPr>
              <w:t>.</w:t>
            </w:r>
          </w:p>
          <w:p w14:paraId="4219A0E5" w14:textId="77777777" w:rsidR="00AD1772" w:rsidRPr="008B5C7B" w:rsidRDefault="00AD1772" w:rsidP="00AD1772">
            <w:pPr>
              <w:pStyle w:val="ListNoNum2"/>
              <w:rPr>
                <w:iCs/>
              </w:rPr>
            </w:pPr>
            <w:r w:rsidRPr="008B5C7B">
              <w:t xml:space="preserve">d. </w:t>
            </w:r>
            <w:r w:rsidRPr="008B5C7B">
              <w:tab/>
            </w:r>
            <w:r w:rsidRPr="008B5C7B">
              <w:rPr>
                <w:iCs/>
              </w:rPr>
              <w:t>Be available in alternative formats and through the provision of auxiliary aids and services in an appropriate manner that takes into consideration the special needs of members or potential members with disabilities or limited English proficiency.</w:t>
            </w:r>
          </w:p>
          <w:p w14:paraId="6C3E5B96" w14:textId="77777777" w:rsidR="00AD1772" w:rsidRPr="008B5C7B" w:rsidRDefault="00AD1772" w:rsidP="00AD1772">
            <w:pPr>
              <w:pStyle w:val="ListNoNum2"/>
              <w:rPr>
                <w:iCs/>
              </w:rPr>
            </w:pPr>
            <w:r w:rsidRPr="008B5C7B">
              <w:t xml:space="preserve">e. </w:t>
            </w:r>
            <w:r w:rsidRPr="008B5C7B">
              <w:tab/>
            </w:r>
            <w:r w:rsidRPr="008B5C7B">
              <w:rPr>
                <w:iCs/>
              </w:rPr>
              <w:t xml:space="preserve">The PIHP shall also identify additional languages that are prevalent among the PIHP’s membership. </w:t>
            </w:r>
            <w:r w:rsidRPr="008B5C7B">
              <w:rPr>
                <w:i/>
              </w:rPr>
              <w:t>For purposes of this requirement, “prevalent non-English language” is defined as any language spoken as the primary language by more than five percent (5%) of the population in the PIHP’s region</w:t>
            </w:r>
            <w:r w:rsidRPr="008B5C7B">
              <w:rPr>
                <w:iCs/>
              </w:rPr>
              <w:t>.</w:t>
            </w:r>
          </w:p>
          <w:p w14:paraId="2F4C8700" w14:textId="77777777" w:rsidR="00AD1772" w:rsidRPr="008B5C7B" w:rsidRDefault="00AD1772" w:rsidP="00AD1772">
            <w:pPr>
              <w:pStyle w:val="ListNoNum2"/>
              <w:rPr>
                <w:iCs/>
              </w:rPr>
            </w:pPr>
            <w:r w:rsidRPr="008B5C7B">
              <w:lastRenderedPageBreak/>
              <w:t xml:space="preserve">f. </w:t>
            </w:r>
            <w:r w:rsidRPr="008B5C7B">
              <w:tab/>
            </w:r>
            <w:r w:rsidRPr="008B5C7B">
              <w:rPr>
                <w:i/>
              </w:rPr>
              <w:t>Material must not contain false, confusing, and/or misleading information</w:t>
            </w:r>
            <w:r w:rsidRPr="008B5C7B">
              <w:rPr>
                <w:iCs/>
              </w:rPr>
              <w:t xml:space="preserve">. </w:t>
            </w:r>
          </w:p>
          <w:p w14:paraId="25E3C812" w14:textId="77777777" w:rsidR="00AD1772" w:rsidRPr="008B5C7B" w:rsidRDefault="00AD1772" w:rsidP="00AD1772">
            <w:pPr>
              <w:pStyle w:val="HSAGNumbers"/>
              <w:numPr>
                <w:ilvl w:val="0"/>
                <w:numId w:val="0"/>
              </w:numPr>
              <w:ind w:left="360" w:hanging="360"/>
              <w:contextualSpacing/>
              <w:rPr>
                <w:iCs/>
              </w:rPr>
            </w:pPr>
          </w:p>
          <w:p w14:paraId="2E7F0F71" w14:textId="77777777" w:rsidR="00AD1772" w:rsidRPr="008B5C7B" w:rsidRDefault="00AD1772" w:rsidP="00AD1772">
            <w:pPr>
              <w:pStyle w:val="HSAGNumbers"/>
              <w:numPr>
                <w:ilvl w:val="0"/>
                <w:numId w:val="0"/>
              </w:numPr>
              <w:contextualSpacing/>
              <w:rPr>
                <w:iCs/>
                <w:sz w:val="20"/>
                <w:szCs w:val="20"/>
              </w:rPr>
            </w:pPr>
            <w:r w:rsidRPr="008B5C7B">
              <w:rPr>
                <w:iCs/>
                <w:sz w:val="20"/>
                <w:szCs w:val="20"/>
              </w:rPr>
              <w:t>“Limited English proficient (LEP)”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5B801EAB" w14:textId="77777777" w:rsidR="00AD1772" w:rsidRPr="008B5C7B" w:rsidRDefault="00AD1772" w:rsidP="00AD1772">
            <w:pPr>
              <w:pStyle w:val="HSAGNumbers"/>
              <w:numPr>
                <w:ilvl w:val="0"/>
                <w:numId w:val="0"/>
              </w:numPr>
              <w:ind w:left="360"/>
              <w:contextualSpacing/>
              <w:jc w:val="right"/>
              <w:rPr>
                <w:iCs/>
                <w:sz w:val="18"/>
                <w:szCs w:val="18"/>
              </w:rPr>
            </w:pPr>
          </w:p>
          <w:p w14:paraId="5D255DF0" w14:textId="77777777" w:rsidR="00AD1772" w:rsidRPr="008B5C7B" w:rsidRDefault="00AD1772" w:rsidP="00AD1772">
            <w:pPr>
              <w:pStyle w:val="HSAGNumbers"/>
              <w:numPr>
                <w:ilvl w:val="0"/>
                <w:numId w:val="0"/>
              </w:numPr>
              <w:ind w:left="360"/>
              <w:contextualSpacing/>
              <w:jc w:val="right"/>
              <w:rPr>
                <w:iCs/>
                <w:sz w:val="18"/>
                <w:szCs w:val="18"/>
              </w:rPr>
            </w:pPr>
            <w:r w:rsidRPr="008B5C7B">
              <w:rPr>
                <w:iCs/>
                <w:sz w:val="18"/>
                <w:szCs w:val="18"/>
              </w:rPr>
              <w:t>42 CFR §438.10(d)(6)</w:t>
            </w:r>
          </w:p>
          <w:p w14:paraId="7D919587" w14:textId="77777777" w:rsidR="00AD1772" w:rsidRPr="008B5C7B" w:rsidRDefault="00AD1772" w:rsidP="00AD1772">
            <w:pPr>
              <w:pStyle w:val="HSAGNumbers"/>
              <w:numPr>
                <w:ilvl w:val="0"/>
                <w:numId w:val="0"/>
              </w:numPr>
              <w:ind w:left="360"/>
              <w:contextualSpacing/>
              <w:jc w:val="right"/>
              <w:rPr>
                <w:sz w:val="18"/>
                <w:szCs w:val="18"/>
              </w:rPr>
            </w:pPr>
            <w:r w:rsidRPr="008B5C7B">
              <w:rPr>
                <w:sz w:val="18"/>
                <w:szCs w:val="18"/>
              </w:rPr>
              <w:t>42 CFR §457.1207</w:t>
            </w:r>
          </w:p>
          <w:p w14:paraId="552257F9" w14:textId="77777777" w:rsidR="00AD1772" w:rsidRPr="008B5C7B" w:rsidRDefault="00AD1772" w:rsidP="00AD1772">
            <w:pPr>
              <w:pStyle w:val="HSAGNumbers"/>
              <w:numPr>
                <w:ilvl w:val="0"/>
                <w:numId w:val="0"/>
              </w:numPr>
              <w:spacing w:before="40" w:after="40"/>
              <w:ind w:left="720"/>
              <w:contextualSpacing/>
              <w:jc w:val="right"/>
              <w:rPr>
                <w:iCs/>
                <w:sz w:val="18"/>
                <w:szCs w:val="18"/>
              </w:rPr>
            </w:pPr>
            <w:r w:rsidRPr="008B5C7B">
              <w:rPr>
                <w:iCs/>
                <w:sz w:val="18"/>
                <w:szCs w:val="18"/>
              </w:rPr>
              <w:t xml:space="preserve">Contract Schedule A–1(B)(4)(e)  </w:t>
            </w:r>
          </w:p>
          <w:p w14:paraId="2195D615" w14:textId="77777777" w:rsidR="00AD1772" w:rsidRPr="008B5C7B" w:rsidRDefault="00AD1772" w:rsidP="00AD1772">
            <w:pPr>
              <w:pStyle w:val="HSAGNumbers"/>
              <w:numPr>
                <w:ilvl w:val="0"/>
                <w:numId w:val="0"/>
              </w:numPr>
              <w:spacing w:before="40" w:after="40"/>
              <w:ind w:left="720"/>
              <w:contextualSpacing/>
              <w:jc w:val="right"/>
              <w:rPr>
                <w:iCs/>
                <w:sz w:val="18"/>
                <w:szCs w:val="18"/>
              </w:rPr>
            </w:pPr>
            <w:r w:rsidRPr="008B5C7B">
              <w:rPr>
                <w:iCs/>
                <w:sz w:val="18"/>
                <w:szCs w:val="18"/>
              </w:rPr>
              <w:t>Contract Schedule A–1(M)(2)(a)(</w:t>
            </w:r>
            <w:proofErr w:type="spellStart"/>
            <w:r w:rsidRPr="008B5C7B">
              <w:rPr>
                <w:iCs/>
                <w:sz w:val="18"/>
                <w:szCs w:val="18"/>
              </w:rPr>
              <w:t>i</w:t>
            </w:r>
            <w:proofErr w:type="spellEnd"/>
            <w:r w:rsidRPr="008B5C7B">
              <w:rPr>
                <w:iCs/>
                <w:sz w:val="18"/>
                <w:szCs w:val="18"/>
              </w:rPr>
              <w:t>)-(ii)</w:t>
            </w:r>
          </w:p>
          <w:p w14:paraId="0C42A951" w14:textId="77777777" w:rsidR="00AD1772" w:rsidRPr="008B5C7B" w:rsidRDefault="00AD1772" w:rsidP="00A732BB">
            <w:pPr>
              <w:pStyle w:val="HSAGNumbers"/>
              <w:numPr>
                <w:ilvl w:val="0"/>
                <w:numId w:val="0"/>
              </w:numPr>
              <w:spacing w:before="40" w:after="0"/>
              <w:ind w:left="720"/>
              <w:contextualSpacing/>
              <w:jc w:val="right"/>
              <w:rPr>
                <w:iCs/>
                <w:sz w:val="18"/>
                <w:szCs w:val="18"/>
              </w:rPr>
            </w:pPr>
            <w:r w:rsidRPr="008B5C7B">
              <w:rPr>
                <w:iCs/>
                <w:sz w:val="18"/>
                <w:szCs w:val="18"/>
              </w:rPr>
              <w:t>Contract Schedule A–1(M)(2)(a)(iv)</w:t>
            </w:r>
          </w:p>
          <w:p w14:paraId="3A39C0A8" w14:textId="7466390D" w:rsidR="00AD1772" w:rsidRPr="00A732BB" w:rsidRDefault="00AD1772" w:rsidP="00AD1772">
            <w:pPr>
              <w:pStyle w:val="HSAGTableContracttext"/>
              <w:keepNext/>
              <w:spacing w:before="0" w:after="0"/>
              <w:ind w:left="1440"/>
              <w:contextualSpacing/>
              <w:rPr>
                <w:i w:val="0"/>
                <w:szCs w:val="18"/>
              </w:rPr>
            </w:pPr>
            <w:r w:rsidRPr="00A732BB">
              <w:rPr>
                <w:i w:val="0"/>
                <w:sz w:val="18"/>
                <w:szCs w:val="18"/>
              </w:rPr>
              <w:t>Contract Schedule A–1(M)(2)(b)(</w:t>
            </w:r>
            <w:proofErr w:type="spellStart"/>
            <w:r w:rsidRPr="00A732BB">
              <w:rPr>
                <w:i w:val="0"/>
                <w:sz w:val="18"/>
                <w:szCs w:val="18"/>
              </w:rPr>
              <w:t>i</w:t>
            </w:r>
            <w:proofErr w:type="spellEnd"/>
            <w:r w:rsidRPr="00A732BB">
              <w:rPr>
                <w:i w:val="0"/>
                <w:sz w:val="18"/>
                <w:szCs w:val="18"/>
              </w:rPr>
              <w:t>)</w:t>
            </w:r>
          </w:p>
        </w:tc>
        <w:tc>
          <w:tcPr>
            <w:tcW w:w="6114" w:type="dxa"/>
            <w:gridSpan w:val="2"/>
            <w:shd w:val="clear" w:color="auto" w:fill="FFFFFF" w:themeFill="background1"/>
          </w:tcPr>
          <w:p w14:paraId="10A7A382" w14:textId="77777777" w:rsidR="00AD1772" w:rsidRPr="008B5C7B" w:rsidRDefault="00AD1772" w:rsidP="00AD1772">
            <w:pPr>
              <w:pStyle w:val="HSAGTableText"/>
              <w:contextualSpacing/>
              <w:rPr>
                <w:b/>
                <w:bCs/>
              </w:rPr>
            </w:pPr>
            <w:r w:rsidRPr="008B5C7B">
              <w:rPr>
                <w:b/>
                <w:bCs/>
              </w:rPr>
              <w:lastRenderedPageBreak/>
              <w:t>HSAG Required Evidence:</w:t>
            </w:r>
          </w:p>
          <w:p w14:paraId="0A386867" w14:textId="77777777" w:rsidR="00AD1772" w:rsidRPr="008B5C7B" w:rsidRDefault="00AD1772" w:rsidP="00AD1772">
            <w:pPr>
              <w:pStyle w:val="HSAGTableText"/>
              <w:numPr>
                <w:ilvl w:val="0"/>
                <w:numId w:val="24"/>
              </w:numPr>
              <w:contextualSpacing/>
            </w:pPr>
            <w:r w:rsidRPr="008B5C7B">
              <w:t>Policies and procedures</w:t>
            </w:r>
          </w:p>
          <w:p w14:paraId="3109F768" w14:textId="77777777" w:rsidR="00AD1772" w:rsidRPr="008B5C7B" w:rsidRDefault="00AD1772" w:rsidP="00AD1772">
            <w:pPr>
              <w:pStyle w:val="HSAGTableText"/>
              <w:numPr>
                <w:ilvl w:val="0"/>
                <w:numId w:val="24"/>
              </w:numPr>
              <w:contextualSpacing/>
            </w:pPr>
            <w:r w:rsidRPr="008B5C7B">
              <w:t>Member materials, such as the member handbook and member newsletter</w:t>
            </w:r>
          </w:p>
          <w:p w14:paraId="66652F44" w14:textId="77777777" w:rsidR="00AD1772" w:rsidRPr="008B5C7B" w:rsidRDefault="00AD1772" w:rsidP="00AD1772">
            <w:pPr>
              <w:pStyle w:val="HSAGTableText"/>
              <w:numPr>
                <w:ilvl w:val="0"/>
                <w:numId w:val="24"/>
              </w:numPr>
              <w:contextualSpacing/>
            </w:pPr>
            <w:r w:rsidRPr="008B5C7B">
              <w:t xml:space="preserve">Mechanism to assess </w:t>
            </w:r>
            <w:proofErr w:type="gramStart"/>
            <w:r w:rsidRPr="008B5C7B">
              <w:t>reading</w:t>
            </w:r>
            <w:proofErr w:type="gramEnd"/>
            <w:r w:rsidRPr="008B5C7B">
              <w:t xml:space="preserve"> level of member materials and supporting evidence (e.g., screenshots of reading level of member materials)</w:t>
            </w:r>
          </w:p>
          <w:p w14:paraId="52D31F6A" w14:textId="77777777" w:rsidR="00AD1772" w:rsidRPr="008B5C7B" w:rsidRDefault="00AD1772" w:rsidP="00AD1772">
            <w:pPr>
              <w:pStyle w:val="HSAGTableText"/>
              <w:numPr>
                <w:ilvl w:val="0"/>
                <w:numId w:val="24"/>
              </w:numPr>
              <w:contextualSpacing/>
            </w:pPr>
            <w:r w:rsidRPr="008B5C7B">
              <w:t>Examples of member notices (in Microsoft Word), such as an ABD notice, grievance resolution letter, appeal resolution letter, etc.</w:t>
            </w:r>
          </w:p>
          <w:p w14:paraId="3B722209" w14:textId="77777777" w:rsidR="00AD1772" w:rsidRDefault="00AD1772" w:rsidP="00AD1772">
            <w:pPr>
              <w:pStyle w:val="HSAGTableText"/>
              <w:numPr>
                <w:ilvl w:val="0"/>
                <w:numId w:val="24"/>
              </w:numPr>
              <w:contextualSpacing/>
            </w:pPr>
            <w:r w:rsidRPr="008B5C7B">
              <w:t xml:space="preserve">Tracking or reporting </w:t>
            </w:r>
            <w:proofErr w:type="gramStart"/>
            <w:r w:rsidRPr="008B5C7B">
              <w:t>mechanism</w:t>
            </w:r>
            <w:proofErr w:type="gramEnd"/>
            <w:r w:rsidRPr="008B5C7B">
              <w:t xml:space="preserve"> on use of interpretation services and auxiliary aids and services</w:t>
            </w:r>
          </w:p>
          <w:p w14:paraId="54A0BEA1" w14:textId="40133201" w:rsidR="00AD1772" w:rsidRPr="00903F99" w:rsidRDefault="00AD1772" w:rsidP="00AD1772">
            <w:pPr>
              <w:pStyle w:val="HSAGTableText"/>
              <w:numPr>
                <w:ilvl w:val="0"/>
                <w:numId w:val="24"/>
              </w:numPr>
              <w:contextualSpacing/>
            </w:pPr>
            <w:r w:rsidRPr="008B5C7B">
              <w:t>Mechanism to assess prevalent languages in the PIHP’s region</w:t>
            </w:r>
          </w:p>
        </w:tc>
        <w:tc>
          <w:tcPr>
            <w:tcW w:w="1426" w:type="dxa"/>
            <w:vMerge w:val="restart"/>
            <w:shd w:val="clear" w:color="auto" w:fill="FFFFFF" w:themeFill="background1"/>
          </w:tcPr>
          <w:p w14:paraId="13663C63" w14:textId="77777777" w:rsidR="00AD1772" w:rsidRPr="008B5C7B" w:rsidRDefault="00000000" w:rsidP="00AD1772">
            <w:pPr>
              <w:spacing w:before="60" w:after="0"/>
              <w:contextualSpacing/>
              <w:rPr>
                <w:sz w:val="22"/>
              </w:rPr>
            </w:pPr>
            <w:sdt>
              <w:sdtPr>
                <w:rPr>
                  <w:sz w:val="22"/>
                </w:rPr>
                <w:id w:val="2126728295"/>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Met</w:t>
            </w:r>
          </w:p>
          <w:p w14:paraId="54276267" w14:textId="77777777" w:rsidR="00AD1772" w:rsidRPr="008B5C7B" w:rsidRDefault="00000000" w:rsidP="00AD1772">
            <w:pPr>
              <w:spacing w:before="60" w:after="0"/>
              <w:contextualSpacing/>
              <w:rPr>
                <w:sz w:val="22"/>
              </w:rPr>
            </w:pPr>
            <w:sdt>
              <w:sdtPr>
                <w:rPr>
                  <w:sz w:val="22"/>
                </w:rPr>
                <w:id w:val="1396781498"/>
                <w14:checkbox>
                  <w14:checked w14:val="1"/>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Not Met</w:t>
            </w:r>
          </w:p>
          <w:p w14:paraId="05F6EB5A" w14:textId="77777777" w:rsidR="00AD1772" w:rsidRPr="008B5C7B" w:rsidRDefault="00000000" w:rsidP="00AD1772">
            <w:pPr>
              <w:spacing w:before="60" w:after="0"/>
              <w:contextualSpacing/>
              <w:rPr>
                <w:sz w:val="22"/>
              </w:rPr>
            </w:pPr>
            <w:sdt>
              <w:sdtPr>
                <w:rPr>
                  <w:sz w:val="22"/>
                </w:rPr>
                <w:id w:val="101083352"/>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NA</w:t>
            </w:r>
          </w:p>
          <w:p w14:paraId="35BDF8E9" w14:textId="77777777" w:rsidR="00AD1772" w:rsidRPr="00903F99" w:rsidRDefault="00AD1772" w:rsidP="00AD1772">
            <w:pPr>
              <w:spacing w:before="0" w:after="0"/>
              <w:contextualSpacing/>
              <w:rPr>
                <w:sz w:val="22"/>
              </w:rPr>
            </w:pPr>
          </w:p>
        </w:tc>
      </w:tr>
      <w:tr w:rsidR="00AD1772" w:rsidRPr="00903F99" w14:paraId="340C1309" w14:textId="77777777" w:rsidTr="00AD1772">
        <w:trPr>
          <w:trHeight w:val="374"/>
          <w:jc w:val="center"/>
        </w:trPr>
        <w:tc>
          <w:tcPr>
            <w:tcW w:w="6471" w:type="dxa"/>
            <w:gridSpan w:val="2"/>
            <w:vMerge/>
          </w:tcPr>
          <w:p w14:paraId="0BB1DFA8" w14:textId="77777777" w:rsidR="00AD1772" w:rsidRPr="00903F99" w:rsidRDefault="00AD1772" w:rsidP="00AD1772">
            <w:pPr>
              <w:pStyle w:val="HSAGNumbers"/>
              <w:numPr>
                <w:ilvl w:val="0"/>
                <w:numId w:val="17"/>
              </w:numPr>
              <w:spacing w:before="0" w:after="0"/>
              <w:contextualSpacing/>
            </w:pPr>
          </w:p>
        </w:tc>
        <w:tc>
          <w:tcPr>
            <w:tcW w:w="6114" w:type="dxa"/>
            <w:gridSpan w:val="2"/>
            <w:shd w:val="clear" w:color="auto" w:fill="FFFFFF" w:themeFill="background1"/>
          </w:tcPr>
          <w:p w14:paraId="6CAF9EAE" w14:textId="77777777" w:rsidR="00AD1772" w:rsidRPr="008B5C7B" w:rsidRDefault="00AD1772" w:rsidP="00AD1772">
            <w:pPr>
              <w:pStyle w:val="HSAGTableText"/>
              <w:contextualSpacing/>
              <w:rPr>
                <w:b/>
                <w:bCs/>
              </w:rPr>
            </w:pPr>
            <w:r w:rsidRPr="008B5C7B">
              <w:rPr>
                <w:b/>
                <w:bCs/>
              </w:rPr>
              <w:t>Evidence as Submitted by the PIHP:</w:t>
            </w:r>
          </w:p>
          <w:p w14:paraId="286761E3" w14:textId="77777777" w:rsidR="00AD1772" w:rsidRPr="008B5C7B" w:rsidRDefault="00AD1772" w:rsidP="00AD1772">
            <w:pPr>
              <w:pStyle w:val="HSAGTableText"/>
              <w:numPr>
                <w:ilvl w:val="0"/>
                <w:numId w:val="28"/>
              </w:numPr>
              <w:contextualSpacing/>
            </w:pPr>
            <w:r w:rsidRPr="008B5C7B">
              <w:t>SI_E10_Appeal Notice of Decision</w:t>
            </w:r>
          </w:p>
          <w:p w14:paraId="212311DD" w14:textId="77777777" w:rsidR="00AD1772" w:rsidRPr="008B5C7B" w:rsidRDefault="00AD1772" w:rsidP="00AD1772">
            <w:pPr>
              <w:pStyle w:val="HSAGTableText"/>
              <w:numPr>
                <w:ilvl w:val="0"/>
                <w:numId w:val="28"/>
              </w:numPr>
              <w:contextualSpacing/>
            </w:pPr>
            <w:r w:rsidRPr="008B5C7B">
              <w:t>S1_E10_Grievance Disposition Letter</w:t>
            </w:r>
          </w:p>
          <w:p w14:paraId="5971214D" w14:textId="77777777" w:rsidR="00AD1772" w:rsidRPr="008B5C7B" w:rsidRDefault="00AD1772" w:rsidP="00AD1772">
            <w:pPr>
              <w:pStyle w:val="HSAGTableText"/>
              <w:numPr>
                <w:ilvl w:val="0"/>
                <w:numId w:val="28"/>
              </w:numPr>
              <w:contextualSpacing/>
            </w:pPr>
            <w:r w:rsidRPr="008B5C7B">
              <w:t>Member Information Policy: Page 2, (4), (5)</w:t>
            </w:r>
          </w:p>
          <w:p w14:paraId="641774E4" w14:textId="77777777" w:rsidR="00AD1772" w:rsidRPr="008B5C7B" w:rsidRDefault="00AD1772" w:rsidP="00AD1772">
            <w:pPr>
              <w:pStyle w:val="HSAGTableText"/>
              <w:numPr>
                <w:ilvl w:val="0"/>
                <w:numId w:val="28"/>
              </w:numPr>
              <w:contextualSpacing/>
            </w:pPr>
            <w:r w:rsidRPr="008B5C7B">
              <w:lastRenderedPageBreak/>
              <w:t>Power Bi Demographic reports: Primary Language Noted for Actively Enrolled Consumers</w:t>
            </w:r>
          </w:p>
          <w:p w14:paraId="6DA07268" w14:textId="77777777" w:rsidR="00AD1772" w:rsidRDefault="00AD1772" w:rsidP="00AD1772">
            <w:pPr>
              <w:pStyle w:val="HSAGTableText"/>
              <w:numPr>
                <w:ilvl w:val="0"/>
                <w:numId w:val="28"/>
              </w:numPr>
              <w:contextualSpacing/>
            </w:pPr>
            <w:r w:rsidRPr="008B5C7B">
              <w:t>LEP Policy: Page 2, LEP Definition, Page 2 Policy B,C,E</w:t>
            </w:r>
          </w:p>
          <w:p w14:paraId="41DDD92B" w14:textId="71192B56" w:rsidR="00AD1772" w:rsidRPr="00903F99" w:rsidRDefault="00AD1772" w:rsidP="00AD1772">
            <w:pPr>
              <w:pStyle w:val="HSAGTableText"/>
              <w:numPr>
                <w:ilvl w:val="0"/>
                <w:numId w:val="28"/>
              </w:numPr>
              <w:contextualSpacing/>
            </w:pPr>
            <w:r w:rsidRPr="008B5C7B">
              <w:t>SI_E10_ Example ABD</w:t>
            </w:r>
          </w:p>
        </w:tc>
        <w:tc>
          <w:tcPr>
            <w:tcW w:w="1426" w:type="dxa"/>
            <w:vMerge/>
            <w:shd w:val="clear" w:color="auto" w:fill="FFFFFF" w:themeFill="background1"/>
          </w:tcPr>
          <w:p w14:paraId="76E115BE" w14:textId="77777777" w:rsidR="00AD1772" w:rsidRPr="00903F99" w:rsidRDefault="00AD1772" w:rsidP="00AD1772">
            <w:pPr>
              <w:spacing w:before="0" w:after="0"/>
              <w:contextualSpacing/>
              <w:rPr>
                <w:sz w:val="22"/>
              </w:rPr>
            </w:pPr>
          </w:p>
        </w:tc>
      </w:tr>
      <w:tr w:rsidR="00AD1772" w:rsidRPr="00903F99" w14:paraId="7B9320C7" w14:textId="77777777" w:rsidTr="00171D87">
        <w:trPr>
          <w:trHeight w:val="374"/>
          <w:jc w:val="center"/>
        </w:trPr>
        <w:tc>
          <w:tcPr>
            <w:tcW w:w="14011" w:type="dxa"/>
            <w:gridSpan w:val="5"/>
            <w:vAlign w:val="center"/>
          </w:tcPr>
          <w:p w14:paraId="4E43013B" w14:textId="0D989615" w:rsidR="00AD1772" w:rsidRPr="00903F99" w:rsidRDefault="00AD1772" w:rsidP="00CC74C5">
            <w:pPr>
              <w:pStyle w:val="HSAGTableText"/>
            </w:pPr>
            <w:r w:rsidRPr="008B5C7B">
              <w:rPr>
                <w:b/>
              </w:rPr>
              <w:t>PIHP Description of Process:</w:t>
            </w:r>
            <w:r w:rsidRPr="008B5C7B">
              <w:t xml:space="preserve"> The NMRE identifies languages spoken as recorded during initial enrollment and updates provided subsequently from MDHHS files. </w:t>
            </w:r>
            <w:proofErr w:type="gramStart"/>
            <w:r w:rsidRPr="008B5C7B">
              <w:t>At this time</w:t>
            </w:r>
            <w:proofErr w:type="gramEnd"/>
            <w:r w:rsidRPr="008B5C7B">
              <w:t xml:space="preserve"> the NMRE is &gt;99% English speaking.</w:t>
            </w:r>
          </w:p>
        </w:tc>
      </w:tr>
      <w:tr w:rsidR="00AD1772" w:rsidRPr="0026679F" w14:paraId="57FE9AE7" w14:textId="77777777" w:rsidTr="00171D87">
        <w:trPr>
          <w:trHeight w:val="374"/>
          <w:jc w:val="center"/>
        </w:trPr>
        <w:tc>
          <w:tcPr>
            <w:tcW w:w="14011" w:type="dxa"/>
            <w:gridSpan w:val="5"/>
            <w:tcBorders>
              <w:bottom w:val="single" w:sz="4" w:space="0" w:color="000000"/>
            </w:tcBorders>
            <w:vAlign w:val="center"/>
          </w:tcPr>
          <w:p w14:paraId="31C25F59" w14:textId="77777777" w:rsidR="00AD1772" w:rsidRPr="008B5C7B" w:rsidRDefault="00AD1772" w:rsidP="00AD1772">
            <w:pPr>
              <w:pStyle w:val="HSAGTableText"/>
              <w:contextualSpacing/>
            </w:pPr>
            <w:r w:rsidRPr="008B5C7B">
              <w:rPr>
                <w:b/>
              </w:rPr>
              <w:t>HSAG Findings:</w:t>
            </w:r>
            <w:r w:rsidRPr="008B5C7B">
              <w:t xml:space="preserve"> Many of the PIHP’s written materials for potential members and members did not contain text with the minimum 12-point font size in all areas of the document, such as the PIHP’s member handbook and paper provider directory. Additionally, the PIHP was unable to provide evidence of its process to ensure that all written materials, excluding the MDHHS-required model template language, were written at or below the 6.9 grade reading level. Lastly, many of the CMHSPs’ provider directories contained text smaller than the minimum 12-point font size. </w:t>
            </w:r>
          </w:p>
          <w:p w14:paraId="565D6528" w14:textId="08D0AA42" w:rsidR="00AD1772" w:rsidRPr="0026679F" w:rsidRDefault="00AD1772" w:rsidP="00AD1772">
            <w:pPr>
              <w:pStyle w:val="HSAGTableText"/>
              <w:spacing w:before="0"/>
            </w:pPr>
            <w:r w:rsidRPr="008B5C7B">
              <w:rPr>
                <w:b/>
                <w:bCs/>
                <w:szCs w:val="22"/>
              </w:rPr>
              <w:t xml:space="preserve">Recommendations: </w:t>
            </w:r>
            <w:r w:rsidRPr="008B5C7B">
              <w:rPr>
                <w:szCs w:val="22"/>
              </w:rPr>
              <w:t xml:space="preserve">HSAG strongly recommends that the PIHP include an evaluation of its CMHSPs’ written member materials in its </w:t>
            </w:r>
            <w:r w:rsidRPr="008B5C7B">
              <w:rPr>
                <w:i/>
                <w:iCs/>
                <w:szCs w:val="22"/>
              </w:rPr>
              <w:t>CMHSP Delegated Managed Care Tool</w:t>
            </w:r>
            <w:r w:rsidRPr="008B5C7B">
              <w:rPr>
                <w:szCs w:val="22"/>
              </w:rPr>
              <w:t xml:space="preserve"> to ensure that they use a font size no smaller than 12 </w:t>
            </w:r>
            <w:proofErr w:type="gramStart"/>
            <w:r w:rsidRPr="008B5C7B">
              <w:rPr>
                <w:szCs w:val="22"/>
              </w:rPr>
              <w:t>point</w:t>
            </w:r>
            <w:proofErr w:type="gramEnd"/>
            <w:r w:rsidRPr="008B5C7B">
              <w:rPr>
                <w:szCs w:val="22"/>
              </w:rPr>
              <w:t xml:space="preserve">, are written at or below the 6.9 reading grade level, and do not contain false, confusing, and/or misleading information. Additionally, the PIHP’s </w:t>
            </w:r>
            <w:r w:rsidRPr="008B5C7B">
              <w:rPr>
                <w:i/>
                <w:iCs/>
                <w:szCs w:val="22"/>
              </w:rPr>
              <w:t>Member Information Policy</w:t>
            </w:r>
            <w:r w:rsidRPr="008B5C7B">
              <w:rPr>
                <w:szCs w:val="22"/>
              </w:rPr>
              <w:t xml:space="preserve"> stated that written materials must be written at or below the 6.9 reading grade level. However, as the PIHP’s provider agreement stated that informational materials must be written at the fourth grade reading level, HSAG strongly recommends that the PIHP update all policies, procedural documents, and provider agreements, as applicable, to contain information consistent with the PIHP’s expectations and the MDHHS contract requirement. </w:t>
            </w:r>
          </w:p>
        </w:tc>
      </w:tr>
      <w:tr w:rsidR="00AD1772" w:rsidRPr="0026679F" w14:paraId="7D5755E0" w14:textId="77777777" w:rsidTr="00171D87">
        <w:trPr>
          <w:trHeight w:val="374"/>
          <w:jc w:val="center"/>
        </w:trPr>
        <w:tc>
          <w:tcPr>
            <w:tcW w:w="14011" w:type="dxa"/>
            <w:gridSpan w:val="5"/>
            <w:tcBorders>
              <w:top w:val="single" w:sz="4" w:space="0" w:color="000000"/>
              <w:bottom w:val="single" w:sz="4" w:space="0" w:color="auto"/>
            </w:tcBorders>
            <w:vAlign w:val="center"/>
          </w:tcPr>
          <w:p w14:paraId="5D8974EB" w14:textId="4820600C" w:rsidR="00AD1772" w:rsidRPr="0026679F" w:rsidRDefault="00AD1772" w:rsidP="00AD1772">
            <w:pPr>
              <w:pStyle w:val="HSAGTableText"/>
              <w:rPr>
                <w:b/>
              </w:rPr>
            </w:pPr>
            <w:r w:rsidRPr="008B5C7B">
              <w:rPr>
                <w:b/>
              </w:rPr>
              <w:t xml:space="preserve">Required Actions: </w:t>
            </w:r>
            <w:r w:rsidRPr="008B5C7B">
              <w:t xml:space="preserve">The PIHP, and any delegates performing activities on behalf of the PIHP, must ensure that all written materials for potential members and members use a font size no smaller than 12 </w:t>
            </w:r>
            <w:proofErr w:type="gramStart"/>
            <w:r w:rsidRPr="008B5C7B">
              <w:t>point</w:t>
            </w:r>
            <w:proofErr w:type="gramEnd"/>
            <w:r w:rsidRPr="008B5C7B">
              <w:t>, and are written at or below the 6.9 grade reading level</w:t>
            </w:r>
            <w:r>
              <w:t xml:space="preserve">. </w:t>
            </w:r>
          </w:p>
        </w:tc>
      </w:tr>
      <w:tr w:rsidR="00AD1772" w:rsidRPr="00D16F05" w14:paraId="32CC8AC1" w14:textId="77777777" w:rsidTr="00171D87">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1A8671E8" w14:textId="77777777" w:rsidR="00AD1772" w:rsidRPr="00D16F05" w:rsidRDefault="00AD1772" w:rsidP="00171D87">
            <w:pPr>
              <w:pStyle w:val="HSAGTableText"/>
              <w:keepNext/>
              <w:contextualSpacing/>
              <w:rPr>
                <w:b/>
              </w:rPr>
            </w:pPr>
            <w:r>
              <w:rPr>
                <w:b/>
              </w:rPr>
              <w:lastRenderedPageBreak/>
              <w:t>PIHP Corrective Action Plan</w:t>
            </w:r>
          </w:p>
        </w:tc>
      </w:tr>
      <w:tr w:rsidR="00AD1772" w:rsidRPr="00984D92" w14:paraId="032B1A74"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BF3CDCD" w14:textId="5C7DA582" w:rsidR="00AD1772" w:rsidRPr="00984D92" w:rsidRDefault="00AD1772" w:rsidP="00FF5C75">
            <w:pPr>
              <w:pStyle w:val="HSAGTableText"/>
              <w:contextualSpacing/>
              <w:rPr>
                <w:bCs/>
              </w:rPr>
            </w:pPr>
            <w:r>
              <w:rPr>
                <w:b/>
              </w:rPr>
              <w:t>Root Cause Analysis:</w:t>
            </w:r>
            <w:r w:rsidR="00B377A0">
              <w:rPr>
                <w:bCs/>
              </w:rPr>
              <w:t xml:space="preserve"> </w:t>
            </w:r>
            <w:r w:rsidR="00FF5C75" w:rsidRPr="00FF5C75">
              <w:rPr>
                <w:bCs/>
              </w:rPr>
              <w:t>The NMRE did not update its CMHSP contract boilerplate in FY2021 to reflect the change from 4th grade reading level to 6.9 reading level from the FY2020 MDHHS/PIHP contract; it should be noted, however, that the 4th grade reading level as required in the CMHSP contract would comply with the newer, less restrictive 6.9 reading level standard.   </w:t>
            </w:r>
          </w:p>
        </w:tc>
      </w:tr>
      <w:tr w:rsidR="00AD1772" w:rsidRPr="00FC2C0F" w14:paraId="1E3CEC7A"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27A273B0" w14:textId="5DF3D74C" w:rsidR="00AD1772" w:rsidRPr="00FC2C0F" w:rsidRDefault="00AD1772" w:rsidP="00171D87">
            <w:pPr>
              <w:pStyle w:val="HSAGTableText"/>
              <w:contextualSpacing/>
              <w:rPr>
                <w:bCs/>
              </w:rPr>
            </w:pPr>
            <w:r>
              <w:rPr>
                <w:b/>
              </w:rPr>
              <w:t>PIHP Remediation Plan</w:t>
            </w:r>
            <w:r w:rsidRPr="00B30934">
              <w:rPr>
                <w:b/>
              </w:rPr>
              <w:t>:</w:t>
            </w:r>
            <w:r>
              <w:rPr>
                <w:bCs/>
              </w:rPr>
              <w:t xml:space="preserve"> </w:t>
            </w:r>
            <w:r w:rsidR="00B377A0">
              <w:rPr>
                <w:bCs/>
              </w:rPr>
              <w:t xml:space="preserve"> The PIHP will ensure that </w:t>
            </w:r>
            <w:r w:rsidR="0061535D">
              <w:rPr>
                <w:bCs/>
              </w:rPr>
              <w:t xml:space="preserve">CMHSP contract language and policies </w:t>
            </w:r>
            <w:r w:rsidR="00B377A0">
              <w:rPr>
                <w:bCs/>
              </w:rPr>
              <w:t xml:space="preserve">reading </w:t>
            </w:r>
            <w:proofErr w:type="gramStart"/>
            <w:r w:rsidR="00B377A0">
              <w:rPr>
                <w:bCs/>
              </w:rPr>
              <w:t>grade level</w:t>
            </w:r>
            <w:proofErr w:type="gramEnd"/>
            <w:r w:rsidR="00B377A0">
              <w:rPr>
                <w:bCs/>
              </w:rPr>
              <w:t xml:space="preserve"> </w:t>
            </w:r>
            <w:proofErr w:type="gramStart"/>
            <w:r w:rsidR="00B377A0">
              <w:rPr>
                <w:bCs/>
              </w:rPr>
              <w:t>6.9 and 12 point</w:t>
            </w:r>
            <w:proofErr w:type="gramEnd"/>
            <w:r w:rsidR="00B377A0">
              <w:rPr>
                <w:bCs/>
              </w:rPr>
              <w:t xml:space="preserve"> font size </w:t>
            </w:r>
            <w:r w:rsidR="0061535D">
              <w:rPr>
                <w:bCs/>
              </w:rPr>
              <w:t xml:space="preserve">language will be updated to </w:t>
            </w:r>
            <w:r w:rsidR="003778E9">
              <w:rPr>
                <w:bCs/>
              </w:rPr>
              <w:t>match the</w:t>
            </w:r>
            <w:r w:rsidR="00B377A0">
              <w:rPr>
                <w:bCs/>
              </w:rPr>
              <w:t xml:space="preserve"> MDHHS contract requirements. </w:t>
            </w:r>
          </w:p>
        </w:tc>
      </w:tr>
      <w:tr w:rsidR="0061535D" w:rsidRPr="00FC2C0F" w14:paraId="5BAE740C"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2248BE04" w14:textId="6FA71CE6" w:rsidR="0061535D" w:rsidRPr="00FC2C0F" w:rsidRDefault="0061535D" w:rsidP="0061535D">
            <w:pPr>
              <w:pStyle w:val="HSAGTableText"/>
              <w:contextualSpacing/>
              <w:rPr>
                <w:bCs/>
              </w:rPr>
            </w:pPr>
            <w:r w:rsidRPr="00B30934">
              <w:rPr>
                <w:b/>
              </w:rPr>
              <w:t>Responsible Individual(s):</w:t>
            </w:r>
            <w:r>
              <w:rPr>
                <w:bCs/>
              </w:rPr>
              <w:t xml:space="preserve"> Brie Blaauw-Molaison, Compliance and Customer Services Officer/Regional SUD Recipient Rights Officer and Chris VanWagoner, </w:t>
            </w:r>
            <w:r w:rsidR="00E15B70">
              <w:rPr>
                <w:bCs/>
              </w:rPr>
              <w:t>Provider Network</w:t>
            </w:r>
            <w:r>
              <w:rPr>
                <w:bCs/>
              </w:rPr>
              <w:t xml:space="preserve"> Manager</w:t>
            </w:r>
          </w:p>
        </w:tc>
      </w:tr>
      <w:tr w:rsidR="0061535D" w:rsidRPr="00FC2C0F" w14:paraId="70123369"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4EA6CCF8" w14:textId="6D391159" w:rsidR="0061535D" w:rsidRPr="00FC2C0F" w:rsidRDefault="0061535D" w:rsidP="0061535D">
            <w:pPr>
              <w:pStyle w:val="HSAGTableText"/>
              <w:contextualSpacing/>
              <w:rPr>
                <w:bCs/>
              </w:rPr>
            </w:pPr>
            <w:r w:rsidRPr="00B30934">
              <w:rPr>
                <w:b/>
              </w:rPr>
              <w:t>Timeline</w:t>
            </w:r>
            <w:r w:rsidR="008940C5">
              <w:rPr>
                <w:b/>
              </w:rPr>
              <w:t>:</w:t>
            </w:r>
            <w:r w:rsidR="008940C5">
              <w:rPr>
                <w:bCs/>
              </w:rPr>
              <w:t xml:space="preserve">  6/30/25</w:t>
            </w:r>
          </w:p>
        </w:tc>
      </w:tr>
      <w:tr w:rsidR="0061535D" w14:paraId="5F7D9D58" w14:textId="77777777" w:rsidTr="00AD1772">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054B43E0" w14:textId="77777777" w:rsidR="0061535D" w:rsidRPr="00FC2C0F" w:rsidRDefault="0061535D" w:rsidP="0061535D">
            <w:pPr>
              <w:pStyle w:val="HSAGTableText"/>
              <w:contextualSpacing/>
              <w:rPr>
                <w:bCs/>
              </w:rPr>
            </w:pPr>
            <w:r>
              <w:rPr>
                <w:b/>
              </w:rPr>
              <w:t>MDHHS/HSAG Response:</w:t>
            </w:r>
            <w:r>
              <w:rPr>
                <w:bCs/>
              </w:rPr>
              <w:t xml:space="preserve"> </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33779E40" w14:textId="77777777" w:rsidR="0061535D" w:rsidRPr="00C123EE" w:rsidRDefault="00000000" w:rsidP="0061535D">
            <w:pPr>
              <w:pStyle w:val="HSAGTableText"/>
              <w:contextualSpacing/>
              <w:rPr>
                <w:bCs/>
              </w:rPr>
            </w:pPr>
            <w:sdt>
              <w:sdtPr>
                <w:rPr>
                  <w:bCs/>
                </w:rPr>
                <w:id w:val="2034994452"/>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w:t>
            </w:r>
          </w:p>
          <w:p w14:paraId="0EFEC7BB" w14:textId="77777777" w:rsidR="0061535D" w:rsidRPr="00C123EE" w:rsidRDefault="00000000" w:rsidP="0061535D">
            <w:pPr>
              <w:pStyle w:val="HSAGTableText"/>
              <w:contextualSpacing/>
              <w:rPr>
                <w:bCs/>
              </w:rPr>
            </w:pPr>
            <w:sdt>
              <w:sdtPr>
                <w:rPr>
                  <w:bCs/>
                </w:rPr>
                <w:id w:val="-1542822006"/>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 </w:t>
            </w:r>
            <w:r w:rsidR="0061535D">
              <w:rPr>
                <w:bCs/>
              </w:rPr>
              <w:t>W</w:t>
            </w:r>
            <w:r w:rsidR="0061535D" w:rsidRPr="00C123EE">
              <w:rPr>
                <w:bCs/>
              </w:rPr>
              <w:t>ith Recommendations</w:t>
            </w:r>
          </w:p>
          <w:p w14:paraId="5F41198A" w14:textId="77777777" w:rsidR="0061535D" w:rsidRDefault="00000000" w:rsidP="0061535D">
            <w:pPr>
              <w:pStyle w:val="HSAGTableText"/>
              <w:contextualSpacing/>
              <w:rPr>
                <w:b/>
              </w:rPr>
            </w:pPr>
            <w:sdt>
              <w:sdtPr>
                <w:rPr>
                  <w:bCs/>
                </w:rPr>
                <w:id w:val="1624809049"/>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Not Accepted</w:t>
            </w:r>
          </w:p>
        </w:tc>
      </w:tr>
      <w:tr w:rsidR="0061535D" w:rsidRPr="00903F99" w14:paraId="34D39992" w14:textId="77777777" w:rsidTr="00AD1772">
        <w:trPr>
          <w:trHeight w:val="374"/>
          <w:jc w:val="center"/>
        </w:trPr>
        <w:tc>
          <w:tcPr>
            <w:tcW w:w="6471" w:type="dxa"/>
            <w:gridSpan w:val="2"/>
            <w:vMerge w:val="restart"/>
          </w:tcPr>
          <w:p w14:paraId="2EA32699" w14:textId="77777777" w:rsidR="0061535D" w:rsidRPr="008B5C7B" w:rsidRDefault="0061535D" w:rsidP="0061535D">
            <w:pPr>
              <w:pStyle w:val="ListNoNum"/>
              <w:rPr>
                <w:iCs/>
              </w:rPr>
            </w:pPr>
            <w:r w:rsidRPr="008B5C7B">
              <w:rPr>
                <w:spacing w:val="-4"/>
              </w:rPr>
              <w:t>17.</w:t>
            </w:r>
            <w:r w:rsidRPr="008B5C7B">
              <w:rPr>
                <w:spacing w:val="-4"/>
              </w:rPr>
              <w:tab/>
            </w:r>
            <w:proofErr w:type="gramStart"/>
            <w:r w:rsidRPr="008B5C7B">
              <w:rPr>
                <w:i/>
                <w:iCs/>
              </w:rPr>
              <w:t>The PIHP</w:t>
            </w:r>
            <w:proofErr w:type="gramEnd"/>
            <w:r w:rsidRPr="008B5C7B">
              <w:rPr>
                <w:i/>
                <w:iCs/>
              </w:rPr>
              <w:t xml:space="preserve"> must obtain MDHHS approval, in writing, prior to publishing original and revised editions of the member handbook</w:t>
            </w:r>
            <w:r w:rsidRPr="008B5C7B">
              <w:rPr>
                <w:iCs/>
              </w:rPr>
              <w:t>.</w:t>
            </w:r>
          </w:p>
          <w:p w14:paraId="440C8DB4" w14:textId="77777777" w:rsidR="0061535D" w:rsidRPr="008B5C7B" w:rsidRDefault="0061535D" w:rsidP="0061535D">
            <w:pPr>
              <w:pStyle w:val="HSAGNumbers"/>
              <w:numPr>
                <w:ilvl w:val="0"/>
                <w:numId w:val="0"/>
              </w:numPr>
              <w:ind w:left="360"/>
              <w:contextualSpacing/>
              <w:jc w:val="right"/>
              <w:rPr>
                <w:iCs/>
                <w:sz w:val="18"/>
                <w:szCs w:val="18"/>
              </w:rPr>
            </w:pPr>
          </w:p>
          <w:p w14:paraId="710A2D7B" w14:textId="30A50F3A" w:rsidR="0061535D" w:rsidRPr="00A732BB" w:rsidRDefault="0061535D" w:rsidP="0061535D">
            <w:pPr>
              <w:pStyle w:val="HSAGTableContracttext"/>
              <w:keepNext/>
              <w:spacing w:before="0" w:after="0"/>
              <w:ind w:left="1440"/>
              <w:contextualSpacing/>
              <w:rPr>
                <w:i w:val="0"/>
                <w:szCs w:val="18"/>
              </w:rPr>
            </w:pPr>
            <w:r w:rsidRPr="00A732BB">
              <w:rPr>
                <w:i w:val="0"/>
                <w:sz w:val="18"/>
                <w:szCs w:val="18"/>
              </w:rPr>
              <w:t>Contract Schedule A–1(B)(4)(g)</w:t>
            </w:r>
          </w:p>
        </w:tc>
        <w:tc>
          <w:tcPr>
            <w:tcW w:w="6114" w:type="dxa"/>
            <w:gridSpan w:val="2"/>
            <w:shd w:val="clear" w:color="auto" w:fill="FFFFFF" w:themeFill="background1"/>
          </w:tcPr>
          <w:p w14:paraId="4745FFEF" w14:textId="77777777" w:rsidR="0061535D" w:rsidRPr="008B5C7B" w:rsidRDefault="0061535D" w:rsidP="0061535D">
            <w:pPr>
              <w:pStyle w:val="HSAGTableText"/>
              <w:contextualSpacing/>
              <w:rPr>
                <w:b/>
                <w:bCs/>
                <w:color w:val="auto"/>
              </w:rPr>
            </w:pPr>
            <w:r w:rsidRPr="008B5C7B">
              <w:rPr>
                <w:b/>
                <w:bCs/>
                <w:color w:val="auto"/>
              </w:rPr>
              <w:t>HSAG Required Evidence:</w:t>
            </w:r>
          </w:p>
          <w:p w14:paraId="0AA8804D" w14:textId="77777777" w:rsidR="0061535D" w:rsidRDefault="0061535D" w:rsidP="0061535D">
            <w:pPr>
              <w:pStyle w:val="HSAGTableText"/>
              <w:numPr>
                <w:ilvl w:val="0"/>
                <w:numId w:val="24"/>
              </w:numPr>
              <w:contextualSpacing/>
              <w:rPr>
                <w:color w:val="auto"/>
              </w:rPr>
            </w:pPr>
            <w:r w:rsidRPr="008B5C7B">
              <w:rPr>
                <w:color w:val="auto"/>
              </w:rPr>
              <w:t>Policies and procedures</w:t>
            </w:r>
          </w:p>
          <w:p w14:paraId="2E7FB2D5" w14:textId="1E785D85" w:rsidR="0061535D" w:rsidRPr="00AD1772" w:rsidRDefault="0061535D" w:rsidP="0061535D">
            <w:pPr>
              <w:pStyle w:val="HSAGTableText"/>
              <w:numPr>
                <w:ilvl w:val="0"/>
                <w:numId w:val="24"/>
              </w:numPr>
              <w:contextualSpacing/>
              <w:rPr>
                <w:color w:val="auto"/>
              </w:rPr>
            </w:pPr>
            <w:r w:rsidRPr="00AD1772">
              <w:rPr>
                <w:color w:val="auto"/>
              </w:rPr>
              <w:t>Most recent approval received from MDHHS, in writing, of revisions to the member handbook</w:t>
            </w:r>
          </w:p>
        </w:tc>
        <w:tc>
          <w:tcPr>
            <w:tcW w:w="1426" w:type="dxa"/>
            <w:vMerge w:val="restart"/>
            <w:shd w:val="clear" w:color="auto" w:fill="FFFFFF" w:themeFill="background1"/>
          </w:tcPr>
          <w:p w14:paraId="7500AE9F" w14:textId="77777777" w:rsidR="0061535D" w:rsidRPr="008B5C7B" w:rsidRDefault="00000000" w:rsidP="0061535D">
            <w:pPr>
              <w:spacing w:before="60" w:after="0"/>
              <w:contextualSpacing/>
              <w:rPr>
                <w:sz w:val="22"/>
              </w:rPr>
            </w:pPr>
            <w:sdt>
              <w:sdtPr>
                <w:rPr>
                  <w:sz w:val="22"/>
                </w:rPr>
                <w:id w:val="448438304"/>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Met</w:t>
            </w:r>
          </w:p>
          <w:p w14:paraId="36380FE2" w14:textId="77777777" w:rsidR="0061535D" w:rsidRPr="008B5C7B" w:rsidRDefault="00000000" w:rsidP="0061535D">
            <w:pPr>
              <w:spacing w:before="60" w:after="0"/>
              <w:contextualSpacing/>
              <w:rPr>
                <w:sz w:val="22"/>
              </w:rPr>
            </w:pPr>
            <w:sdt>
              <w:sdtPr>
                <w:rPr>
                  <w:sz w:val="22"/>
                </w:rPr>
                <w:id w:val="1301111910"/>
                <w14:checkbox>
                  <w14:checked w14:val="1"/>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Not Met</w:t>
            </w:r>
          </w:p>
          <w:p w14:paraId="1FC63056" w14:textId="77777777" w:rsidR="0061535D" w:rsidRPr="008B5C7B" w:rsidRDefault="00000000" w:rsidP="0061535D">
            <w:pPr>
              <w:spacing w:before="60" w:after="0"/>
              <w:contextualSpacing/>
              <w:rPr>
                <w:sz w:val="22"/>
              </w:rPr>
            </w:pPr>
            <w:sdt>
              <w:sdtPr>
                <w:rPr>
                  <w:sz w:val="22"/>
                </w:rPr>
                <w:id w:val="-346250873"/>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NA</w:t>
            </w:r>
          </w:p>
          <w:p w14:paraId="73FC65A0" w14:textId="77777777" w:rsidR="0061535D" w:rsidRPr="00903F99" w:rsidRDefault="0061535D" w:rsidP="0061535D">
            <w:pPr>
              <w:spacing w:before="0" w:after="0"/>
              <w:contextualSpacing/>
              <w:rPr>
                <w:sz w:val="22"/>
              </w:rPr>
            </w:pPr>
          </w:p>
        </w:tc>
      </w:tr>
      <w:tr w:rsidR="0061535D" w:rsidRPr="00903F99" w14:paraId="4343384E" w14:textId="77777777" w:rsidTr="00AD1772">
        <w:trPr>
          <w:trHeight w:val="374"/>
          <w:jc w:val="center"/>
        </w:trPr>
        <w:tc>
          <w:tcPr>
            <w:tcW w:w="6471" w:type="dxa"/>
            <w:gridSpan w:val="2"/>
            <w:vMerge/>
          </w:tcPr>
          <w:p w14:paraId="34B745FD" w14:textId="77777777" w:rsidR="0061535D" w:rsidRPr="00903F99" w:rsidRDefault="0061535D" w:rsidP="0061535D">
            <w:pPr>
              <w:pStyle w:val="HSAGNumbers"/>
              <w:numPr>
                <w:ilvl w:val="0"/>
                <w:numId w:val="17"/>
              </w:numPr>
              <w:spacing w:before="0" w:after="0"/>
              <w:contextualSpacing/>
            </w:pPr>
          </w:p>
        </w:tc>
        <w:tc>
          <w:tcPr>
            <w:tcW w:w="6114" w:type="dxa"/>
            <w:gridSpan w:val="2"/>
            <w:shd w:val="clear" w:color="auto" w:fill="FFFFFF" w:themeFill="background1"/>
          </w:tcPr>
          <w:p w14:paraId="113927EA" w14:textId="77777777" w:rsidR="0061535D" w:rsidRPr="008B5C7B" w:rsidRDefault="0061535D" w:rsidP="0061535D">
            <w:pPr>
              <w:pStyle w:val="HSAGTableText"/>
              <w:contextualSpacing/>
              <w:rPr>
                <w:b/>
                <w:bCs/>
              </w:rPr>
            </w:pPr>
            <w:r w:rsidRPr="008B5C7B">
              <w:rPr>
                <w:b/>
                <w:bCs/>
              </w:rPr>
              <w:t>Evidence as Submitted by the PIHP:</w:t>
            </w:r>
          </w:p>
          <w:p w14:paraId="7604CD7A" w14:textId="58BCF939" w:rsidR="0061535D" w:rsidRPr="00903F99" w:rsidRDefault="0061535D" w:rsidP="0061535D">
            <w:pPr>
              <w:pStyle w:val="HSAGTableBullet1"/>
              <w:numPr>
                <w:ilvl w:val="0"/>
                <w:numId w:val="29"/>
              </w:numPr>
              <w:ind w:left="334"/>
            </w:pPr>
            <w:r w:rsidRPr="00AD1772">
              <w:rPr>
                <w:color w:val="auto"/>
                <w:szCs w:val="20"/>
              </w:rPr>
              <w:t>Customer Handbook Policy:</w:t>
            </w:r>
            <w:r w:rsidRPr="008B5C7B">
              <w:t xml:space="preserve"> Page 2, Policy F., G.</w:t>
            </w:r>
          </w:p>
        </w:tc>
        <w:tc>
          <w:tcPr>
            <w:tcW w:w="1426" w:type="dxa"/>
            <w:vMerge/>
            <w:shd w:val="clear" w:color="auto" w:fill="FFFFFF" w:themeFill="background1"/>
          </w:tcPr>
          <w:p w14:paraId="314BC7F8" w14:textId="77777777" w:rsidR="0061535D" w:rsidRPr="00903F99" w:rsidRDefault="0061535D" w:rsidP="0061535D">
            <w:pPr>
              <w:spacing w:before="0" w:after="0"/>
              <w:contextualSpacing/>
              <w:rPr>
                <w:sz w:val="22"/>
              </w:rPr>
            </w:pPr>
          </w:p>
        </w:tc>
      </w:tr>
      <w:tr w:rsidR="0061535D" w:rsidRPr="00903F99" w14:paraId="4F340E8C" w14:textId="77777777" w:rsidTr="00171D87">
        <w:trPr>
          <w:trHeight w:val="374"/>
          <w:jc w:val="center"/>
        </w:trPr>
        <w:tc>
          <w:tcPr>
            <w:tcW w:w="14011" w:type="dxa"/>
            <w:gridSpan w:val="5"/>
            <w:vAlign w:val="center"/>
          </w:tcPr>
          <w:p w14:paraId="04D3DF8E" w14:textId="64B1E8E8" w:rsidR="0061535D" w:rsidRPr="00903F99" w:rsidRDefault="0061535D" w:rsidP="0061535D">
            <w:pPr>
              <w:pStyle w:val="HSAGTableText"/>
              <w:spacing w:before="0" w:after="0"/>
            </w:pPr>
            <w:r w:rsidRPr="008B5C7B">
              <w:rPr>
                <w:b/>
              </w:rPr>
              <w:t>PIHP Description of Process:</w:t>
            </w:r>
            <w:r w:rsidRPr="008B5C7B">
              <w:t xml:space="preserve"> </w:t>
            </w:r>
          </w:p>
        </w:tc>
      </w:tr>
      <w:tr w:rsidR="0061535D" w:rsidRPr="0026679F" w14:paraId="0AABD763" w14:textId="77777777" w:rsidTr="00171D87">
        <w:trPr>
          <w:trHeight w:val="374"/>
          <w:jc w:val="center"/>
        </w:trPr>
        <w:tc>
          <w:tcPr>
            <w:tcW w:w="14011" w:type="dxa"/>
            <w:gridSpan w:val="5"/>
            <w:tcBorders>
              <w:bottom w:val="single" w:sz="4" w:space="0" w:color="000000"/>
            </w:tcBorders>
            <w:vAlign w:val="center"/>
          </w:tcPr>
          <w:p w14:paraId="1B1EE109" w14:textId="1840E706" w:rsidR="0061535D" w:rsidRPr="0026679F" w:rsidRDefault="0061535D" w:rsidP="0061535D">
            <w:pPr>
              <w:pStyle w:val="HSAGTableText"/>
              <w:spacing w:before="0"/>
            </w:pPr>
            <w:r w:rsidRPr="008B5C7B">
              <w:rPr>
                <w:b/>
              </w:rPr>
              <w:t>HSAG Findings:</w:t>
            </w:r>
            <w:r w:rsidRPr="008B5C7B">
              <w:t xml:space="preserve"> The PIHP was unable to provide evidence that the PIHP obtained approval of its member handbook from MDHHS prior to publishing the original and revised versions. During the site review, PIHP staff members explained they were unaware that they needed to obtain approval of its member handbook from MDHHS prior to publishing. Following the site review, the PIHP further confirmed it was not aware MDHHS approval was required. </w:t>
            </w:r>
          </w:p>
        </w:tc>
      </w:tr>
      <w:tr w:rsidR="0061535D" w:rsidRPr="0026679F" w14:paraId="31383EF1" w14:textId="77777777" w:rsidTr="00171D87">
        <w:trPr>
          <w:trHeight w:val="374"/>
          <w:jc w:val="center"/>
        </w:trPr>
        <w:tc>
          <w:tcPr>
            <w:tcW w:w="14011" w:type="dxa"/>
            <w:gridSpan w:val="5"/>
            <w:tcBorders>
              <w:top w:val="single" w:sz="4" w:space="0" w:color="000000"/>
              <w:bottom w:val="single" w:sz="4" w:space="0" w:color="auto"/>
            </w:tcBorders>
            <w:vAlign w:val="center"/>
          </w:tcPr>
          <w:p w14:paraId="7D729E85" w14:textId="0CEB8363" w:rsidR="0061535D" w:rsidRPr="0026679F" w:rsidRDefault="0061535D" w:rsidP="0061535D">
            <w:pPr>
              <w:pStyle w:val="HSAGTableText"/>
              <w:rPr>
                <w:b/>
              </w:rPr>
            </w:pPr>
            <w:r w:rsidRPr="008B5C7B">
              <w:rPr>
                <w:b/>
              </w:rPr>
              <w:t>Required Actions:</w:t>
            </w:r>
            <w:r w:rsidRPr="008B5C7B">
              <w:t xml:space="preserve"> The PIHP must obtain MDHHS approval, in writing, prior to publishing the original and revised editions of its member handbook. </w:t>
            </w:r>
          </w:p>
        </w:tc>
      </w:tr>
      <w:tr w:rsidR="0061535D" w:rsidRPr="00D16F05" w14:paraId="2A7BD9A9" w14:textId="77777777" w:rsidTr="00171D87">
        <w:tblPrEx>
          <w:tblCellMar>
            <w:left w:w="108" w:type="dxa"/>
            <w:right w:w="108" w:type="dxa"/>
          </w:tblCellMar>
        </w:tblPrEx>
        <w:trPr>
          <w:trHeight w:val="374"/>
          <w:jc w:val="center"/>
        </w:trPr>
        <w:tc>
          <w:tcPr>
            <w:tcW w:w="14011" w:type="dxa"/>
            <w:gridSpan w:val="5"/>
            <w:tcBorders>
              <w:top w:val="single" w:sz="4" w:space="0" w:color="auto"/>
              <w:bottom w:val="single" w:sz="4" w:space="0" w:color="000000" w:themeColor="text1"/>
            </w:tcBorders>
            <w:shd w:val="clear" w:color="auto" w:fill="F79548" w:themeFill="accent4"/>
          </w:tcPr>
          <w:p w14:paraId="44B71531" w14:textId="77777777" w:rsidR="005F2712" w:rsidRDefault="005F2712" w:rsidP="0061535D">
            <w:pPr>
              <w:pStyle w:val="HSAGTableText"/>
              <w:keepNext/>
              <w:contextualSpacing/>
              <w:rPr>
                <w:b/>
              </w:rPr>
            </w:pPr>
          </w:p>
          <w:p w14:paraId="55D3694F" w14:textId="071B7DD5" w:rsidR="0061535D" w:rsidRPr="00D16F05" w:rsidRDefault="0061535D" w:rsidP="0061535D">
            <w:pPr>
              <w:pStyle w:val="HSAGTableText"/>
              <w:keepNext/>
              <w:contextualSpacing/>
              <w:rPr>
                <w:b/>
              </w:rPr>
            </w:pPr>
            <w:r>
              <w:rPr>
                <w:b/>
              </w:rPr>
              <w:t>PIHP Corrective Action Plan</w:t>
            </w:r>
          </w:p>
        </w:tc>
      </w:tr>
      <w:tr w:rsidR="0061535D" w:rsidRPr="00984D92" w14:paraId="52CCD836"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6C59F9B0" w14:textId="611BC964" w:rsidR="0061535D" w:rsidRPr="00984D92" w:rsidRDefault="0061535D" w:rsidP="0061535D">
            <w:pPr>
              <w:pStyle w:val="HSAGTableText"/>
              <w:contextualSpacing/>
              <w:rPr>
                <w:bCs/>
              </w:rPr>
            </w:pPr>
            <w:r>
              <w:rPr>
                <w:b/>
              </w:rPr>
              <w:t>Root Cause Analysis:</w:t>
            </w:r>
            <w:r w:rsidRPr="003F5489">
              <w:rPr>
                <w:bCs/>
              </w:rPr>
              <w:t xml:space="preserve"> </w:t>
            </w:r>
            <w:r>
              <w:rPr>
                <w:bCs/>
              </w:rPr>
              <w:t xml:space="preserve"> Lack of communication and training for staff in new position</w:t>
            </w:r>
          </w:p>
        </w:tc>
      </w:tr>
      <w:tr w:rsidR="0061535D" w:rsidRPr="00FC2C0F" w14:paraId="75266FA7"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178F7273" w14:textId="0A3EEFEE" w:rsidR="0061535D" w:rsidRPr="00FC2C0F" w:rsidRDefault="0061535D" w:rsidP="0061535D">
            <w:pPr>
              <w:pStyle w:val="HSAGTableText"/>
              <w:contextualSpacing/>
              <w:rPr>
                <w:bCs/>
              </w:rPr>
            </w:pPr>
            <w:r>
              <w:rPr>
                <w:b/>
              </w:rPr>
              <w:t>PIHP Remediation Plan</w:t>
            </w:r>
            <w:r w:rsidRPr="00B30934">
              <w:rPr>
                <w:b/>
              </w:rPr>
              <w:t>:</w:t>
            </w:r>
            <w:r>
              <w:rPr>
                <w:bCs/>
              </w:rPr>
              <w:t xml:space="preserve"> </w:t>
            </w:r>
            <w:r w:rsidRPr="008B5C7B">
              <w:t>The PIHP</w:t>
            </w:r>
            <w:r>
              <w:t xml:space="preserve"> will</w:t>
            </w:r>
            <w:r w:rsidRPr="008B5C7B">
              <w:t xml:space="preserve"> obtain MDHHS approval, in writing, prior to publishing the original and revised editions of its member handbook.</w:t>
            </w:r>
            <w:r>
              <w:t xml:space="preserve"> </w:t>
            </w:r>
            <w:proofErr w:type="gramStart"/>
            <w:r>
              <w:t>Revised</w:t>
            </w:r>
            <w:proofErr w:type="gramEnd"/>
            <w:r>
              <w:t xml:space="preserve"> handbook was sent to MDHHS in November </w:t>
            </w:r>
            <w:r w:rsidR="00E15B70">
              <w:t>2024</w:t>
            </w:r>
            <w:r w:rsidR="00286DF3">
              <w:t xml:space="preserve"> for review</w:t>
            </w:r>
            <w:r w:rsidR="00E15B70">
              <w:t xml:space="preserve"> and NMRE is awaiting </w:t>
            </w:r>
            <w:r>
              <w:t xml:space="preserve">final approval. </w:t>
            </w:r>
          </w:p>
        </w:tc>
      </w:tr>
      <w:tr w:rsidR="00E15B70" w:rsidRPr="00FC2C0F" w14:paraId="49924B4B"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000000" w:themeColor="text1"/>
            </w:tcBorders>
          </w:tcPr>
          <w:p w14:paraId="5E965D9D" w14:textId="2A57B6DB" w:rsidR="00E15B70" w:rsidRPr="00FC2C0F" w:rsidRDefault="00E15B70" w:rsidP="00E15B70">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61535D" w:rsidRPr="00FC2C0F" w14:paraId="3F4E48FC" w14:textId="77777777" w:rsidTr="00171D87">
        <w:tblPrEx>
          <w:tblCellMar>
            <w:left w:w="108" w:type="dxa"/>
            <w:right w:w="108" w:type="dxa"/>
          </w:tblCellMar>
        </w:tblPrEx>
        <w:trPr>
          <w:trHeight w:val="374"/>
          <w:jc w:val="center"/>
        </w:trPr>
        <w:tc>
          <w:tcPr>
            <w:tcW w:w="14011" w:type="dxa"/>
            <w:gridSpan w:val="5"/>
            <w:tcBorders>
              <w:top w:val="single" w:sz="4" w:space="0" w:color="000000"/>
              <w:bottom w:val="single" w:sz="4" w:space="0" w:color="auto"/>
            </w:tcBorders>
          </w:tcPr>
          <w:p w14:paraId="0C5F4E5F" w14:textId="7A82EA6B" w:rsidR="0061535D" w:rsidRPr="00FC2C0F" w:rsidRDefault="0061535D" w:rsidP="0061535D">
            <w:pPr>
              <w:pStyle w:val="HSAGTableText"/>
              <w:contextualSpacing/>
              <w:rPr>
                <w:bCs/>
              </w:rPr>
            </w:pPr>
            <w:r w:rsidRPr="00B30934">
              <w:rPr>
                <w:b/>
              </w:rPr>
              <w:t>Timeline:</w:t>
            </w:r>
            <w:r>
              <w:rPr>
                <w:bCs/>
              </w:rPr>
              <w:t xml:space="preserve"> </w:t>
            </w:r>
            <w:r w:rsidR="00286DF3">
              <w:rPr>
                <w:bCs/>
              </w:rPr>
              <w:t>NMRE will publish updated handbook i</w:t>
            </w:r>
            <w:r w:rsidR="008940C5">
              <w:rPr>
                <w:bCs/>
              </w:rPr>
              <w:t>mmediately upon approval from</w:t>
            </w:r>
            <w:r>
              <w:rPr>
                <w:bCs/>
              </w:rPr>
              <w:t xml:space="preserve"> MDHHS</w:t>
            </w:r>
          </w:p>
        </w:tc>
      </w:tr>
      <w:tr w:rsidR="0061535D" w14:paraId="1329007D" w14:textId="77777777" w:rsidTr="00AD1772">
        <w:tblPrEx>
          <w:tblCellMar>
            <w:left w:w="108" w:type="dxa"/>
            <w:right w:w="108" w:type="dxa"/>
          </w:tblCellMar>
        </w:tblPrEx>
        <w:trPr>
          <w:trHeight w:val="374"/>
          <w:jc w:val="center"/>
        </w:trPr>
        <w:tc>
          <w:tcPr>
            <w:tcW w:w="10432" w:type="dxa"/>
            <w:gridSpan w:val="3"/>
            <w:tcBorders>
              <w:top w:val="single" w:sz="4" w:space="0" w:color="auto"/>
              <w:bottom w:val="single" w:sz="18" w:space="0" w:color="00549E" w:themeColor="text2"/>
            </w:tcBorders>
            <w:shd w:val="clear" w:color="auto" w:fill="F2F2F2" w:themeFill="background1" w:themeFillShade="F2"/>
          </w:tcPr>
          <w:p w14:paraId="3952C769" w14:textId="77777777" w:rsidR="0061535D" w:rsidRPr="00FC2C0F" w:rsidRDefault="0061535D" w:rsidP="0061535D">
            <w:pPr>
              <w:pStyle w:val="HSAGTableText"/>
              <w:keepNext/>
              <w:contextualSpacing/>
              <w:rPr>
                <w:bCs/>
              </w:rPr>
            </w:pPr>
            <w:r>
              <w:rPr>
                <w:b/>
              </w:rPr>
              <w:t>MDHHS/HSAG Response:</w:t>
            </w:r>
            <w:r>
              <w:rPr>
                <w:bCs/>
              </w:rPr>
              <w:t xml:space="preserve"> </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37B8D525" w14:textId="77777777" w:rsidR="0061535D" w:rsidRPr="00C123EE" w:rsidRDefault="00000000" w:rsidP="0061535D">
            <w:pPr>
              <w:pStyle w:val="HSAGTableText"/>
              <w:contextualSpacing/>
              <w:rPr>
                <w:bCs/>
              </w:rPr>
            </w:pPr>
            <w:sdt>
              <w:sdtPr>
                <w:rPr>
                  <w:bCs/>
                </w:rPr>
                <w:id w:val="293184538"/>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w:t>
            </w:r>
          </w:p>
          <w:p w14:paraId="48D5C9A7" w14:textId="77777777" w:rsidR="0061535D" w:rsidRPr="00C123EE" w:rsidRDefault="00000000" w:rsidP="0061535D">
            <w:pPr>
              <w:pStyle w:val="HSAGTableText"/>
              <w:contextualSpacing/>
              <w:rPr>
                <w:bCs/>
              </w:rPr>
            </w:pPr>
            <w:sdt>
              <w:sdtPr>
                <w:rPr>
                  <w:bCs/>
                </w:rPr>
                <w:id w:val="-821892949"/>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 </w:t>
            </w:r>
            <w:r w:rsidR="0061535D">
              <w:rPr>
                <w:bCs/>
              </w:rPr>
              <w:t>W</w:t>
            </w:r>
            <w:r w:rsidR="0061535D" w:rsidRPr="00C123EE">
              <w:rPr>
                <w:bCs/>
              </w:rPr>
              <w:t>ith Recommendations</w:t>
            </w:r>
          </w:p>
          <w:p w14:paraId="4CA5E402" w14:textId="77777777" w:rsidR="0061535D" w:rsidRDefault="00000000" w:rsidP="0061535D">
            <w:pPr>
              <w:pStyle w:val="HSAGTableText"/>
              <w:contextualSpacing/>
              <w:rPr>
                <w:b/>
              </w:rPr>
            </w:pPr>
            <w:sdt>
              <w:sdtPr>
                <w:rPr>
                  <w:bCs/>
                </w:rPr>
                <w:id w:val="1164822567"/>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Not Accepted</w:t>
            </w:r>
          </w:p>
        </w:tc>
      </w:tr>
      <w:tr w:rsidR="0061535D" w:rsidRPr="00903F99" w14:paraId="7FDBAC4C" w14:textId="77777777" w:rsidTr="00AD1772">
        <w:trPr>
          <w:trHeight w:val="374"/>
          <w:jc w:val="center"/>
        </w:trPr>
        <w:tc>
          <w:tcPr>
            <w:tcW w:w="6471" w:type="dxa"/>
            <w:gridSpan w:val="2"/>
            <w:vMerge w:val="restart"/>
          </w:tcPr>
          <w:p w14:paraId="59BD98C4" w14:textId="77777777" w:rsidR="0061535D" w:rsidRPr="008B5C7B" w:rsidRDefault="0061535D" w:rsidP="0061535D">
            <w:pPr>
              <w:pStyle w:val="ListNoNum"/>
              <w:rPr>
                <w:iCs/>
              </w:rPr>
            </w:pPr>
            <w:r w:rsidRPr="008B5C7B">
              <w:rPr>
                <w:spacing w:val="-4"/>
              </w:rPr>
              <w:t>18.</w:t>
            </w:r>
            <w:r w:rsidRPr="008B5C7B">
              <w:rPr>
                <w:spacing w:val="-4"/>
              </w:rPr>
              <w:tab/>
            </w:r>
            <w:r w:rsidRPr="008B5C7B">
              <w:rPr>
                <w:iCs/>
              </w:rPr>
              <w:t>The PIHP makes the provider directory available in paper form upon request and electronic form. The provider directory must include the information from the Provider Directory Checklist.</w:t>
            </w:r>
          </w:p>
          <w:p w14:paraId="599A6C8C" w14:textId="77777777" w:rsidR="0061535D" w:rsidRPr="008B5C7B" w:rsidRDefault="0061535D" w:rsidP="0061535D">
            <w:pPr>
              <w:pStyle w:val="HSAGNumbers"/>
              <w:numPr>
                <w:ilvl w:val="0"/>
                <w:numId w:val="0"/>
              </w:numPr>
              <w:ind w:left="360"/>
              <w:contextualSpacing/>
              <w:jc w:val="right"/>
              <w:rPr>
                <w:iCs/>
                <w:sz w:val="18"/>
                <w:szCs w:val="18"/>
              </w:rPr>
            </w:pPr>
          </w:p>
          <w:p w14:paraId="14430C6E" w14:textId="77777777" w:rsidR="0061535D" w:rsidRPr="008B5C7B" w:rsidRDefault="0061535D" w:rsidP="0061535D">
            <w:pPr>
              <w:pStyle w:val="HSAGNumbers"/>
              <w:numPr>
                <w:ilvl w:val="0"/>
                <w:numId w:val="0"/>
              </w:numPr>
              <w:ind w:left="360"/>
              <w:contextualSpacing/>
              <w:jc w:val="right"/>
              <w:rPr>
                <w:iCs/>
                <w:sz w:val="18"/>
                <w:szCs w:val="18"/>
              </w:rPr>
            </w:pPr>
            <w:r w:rsidRPr="008B5C7B">
              <w:rPr>
                <w:iCs/>
                <w:sz w:val="18"/>
                <w:szCs w:val="18"/>
              </w:rPr>
              <w:t>42 CFR §438.10(h)(1-2)</w:t>
            </w:r>
          </w:p>
          <w:p w14:paraId="6B409C12" w14:textId="77777777" w:rsidR="0061535D" w:rsidRPr="008B5C7B" w:rsidRDefault="0061535D" w:rsidP="0061535D">
            <w:pPr>
              <w:pStyle w:val="HSAGNumbers"/>
              <w:numPr>
                <w:ilvl w:val="0"/>
                <w:numId w:val="0"/>
              </w:numPr>
              <w:ind w:left="360"/>
              <w:contextualSpacing/>
              <w:jc w:val="right"/>
              <w:rPr>
                <w:iCs/>
                <w:sz w:val="18"/>
                <w:szCs w:val="18"/>
              </w:rPr>
            </w:pPr>
            <w:r w:rsidRPr="008B5C7B">
              <w:rPr>
                <w:iCs/>
                <w:sz w:val="18"/>
                <w:szCs w:val="18"/>
              </w:rPr>
              <w:t>42 CFR §457.1207</w:t>
            </w:r>
          </w:p>
          <w:p w14:paraId="28B03CA7" w14:textId="77777777" w:rsidR="0061535D" w:rsidRPr="008B5C7B" w:rsidRDefault="0061535D" w:rsidP="0061535D">
            <w:pPr>
              <w:pStyle w:val="HSAGNumbers"/>
              <w:numPr>
                <w:ilvl w:val="0"/>
                <w:numId w:val="0"/>
              </w:numPr>
              <w:spacing w:before="40" w:after="40"/>
              <w:ind w:left="720"/>
              <w:contextualSpacing/>
              <w:jc w:val="right"/>
              <w:rPr>
                <w:iCs/>
                <w:sz w:val="18"/>
                <w:szCs w:val="18"/>
              </w:rPr>
            </w:pPr>
            <w:r w:rsidRPr="008B5C7B">
              <w:rPr>
                <w:iCs/>
                <w:sz w:val="18"/>
                <w:szCs w:val="18"/>
              </w:rPr>
              <w:t xml:space="preserve">Contract Schedule A–1(M)(1) </w:t>
            </w:r>
          </w:p>
          <w:p w14:paraId="0C138B8B" w14:textId="77777777" w:rsidR="0061535D" w:rsidRPr="008B5C7B" w:rsidRDefault="0061535D" w:rsidP="0061535D">
            <w:pPr>
              <w:pStyle w:val="HSAGNumbers"/>
              <w:numPr>
                <w:ilvl w:val="0"/>
                <w:numId w:val="0"/>
              </w:numPr>
              <w:spacing w:before="40" w:after="40"/>
              <w:ind w:left="720"/>
              <w:contextualSpacing/>
              <w:jc w:val="right"/>
              <w:rPr>
                <w:iCs/>
                <w:sz w:val="18"/>
                <w:szCs w:val="18"/>
              </w:rPr>
            </w:pPr>
            <w:r w:rsidRPr="008B5C7B">
              <w:rPr>
                <w:iCs/>
                <w:sz w:val="18"/>
                <w:szCs w:val="18"/>
              </w:rPr>
              <w:t xml:space="preserve">Contract Schedule A–1(M)(2)(a)(iii) </w:t>
            </w:r>
          </w:p>
          <w:p w14:paraId="27047422" w14:textId="77777777" w:rsidR="0061535D" w:rsidRPr="00903F99" w:rsidRDefault="0061535D" w:rsidP="0061535D">
            <w:pPr>
              <w:pStyle w:val="HSAGTableContracttext"/>
              <w:keepNext/>
              <w:spacing w:before="0" w:after="0"/>
              <w:ind w:left="1440"/>
              <w:contextualSpacing/>
              <w:rPr>
                <w:i w:val="0"/>
                <w:szCs w:val="18"/>
              </w:rPr>
            </w:pPr>
          </w:p>
        </w:tc>
        <w:tc>
          <w:tcPr>
            <w:tcW w:w="6114" w:type="dxa"/>
            <w:gridSpan w:val="2"/>
            <w:shd w:val="clear" w:color="auto" w:fill="FFFFFF" w:themeFill="background1"/>
          </w:tcPr>
          <w:p w14:paraId="64DD01CD" w14:textId="77777777" w:rsidR="0061535D" w:rsidRPr="008B5C7B" w:rsidRDefault="0061535D" w:rsidP="0061535D">
            <w:pPr>
              <w:pStyle w:val="HSAGTableText"/>
              <w:contextualSpacing/>
              <w:rPr>
                <w:b/>
                <w:bCs/>
              </w:rPr>
            </w:pPr>
            <w:r w:rsidRPr="008B5C7B">
              <w:rPr>
                <w:b/>
                <w:bCs/>
              </w:rPr>
              <w:t>HSAG Required Evidence:</w:t>
            </w:r>
          </w:p>
          <w:p w14:paraId="0D9AF90E" w14:textId="77777777" w:rsidR="0061535D" w:rsidRPr="008B5C7B" w:rsidRDefault="0061535D" w:rsidP="0061535D">
            <w:pPr>
              <w:pStyle w:val="HSAGTableText"/>
              <w:numPr>
                <w:ilvl w:val="0"/>
                <w:numId w:val="24"/>
              </w:numPr>
              <w:contextualSpacing/>
            </w:pPr>
            <w:r w:rsidRPr="008B5C7B">
              <w:t>Policies and procedures</w:t>
            </w:r>
          </w:p>
          <w:p w14:paraId="0D5150ED" w14:textId="77777777" w:rsidR="0061535D" w:rsidRPr="008B5C7B" w:rsidRDefault="0061535D" w:rsidP="0061535D">
            <w:pPr>
              <w:pStyle w:val="HSAGTableText"/>
              <w:numPr>
                <w:ilvl w:val="0"/>
                <w:numId w:val="24"/>
              </w:numPr>
              <w:contextualSpacing/>
            </w:pPr>
            <w:r w:rsidRPr="008B5C7B">
              <w:t>Process for generating a paper copy of the provider directory</w:t>
            </w:r>
          </w:p>
          <w:p w14:paraId="039A487A" w14:textId="77777777" w:rsidR="0061535D" w:rsidRPr="008B5C7B" w:rsidRDefault="0061535D" w:rsidP="0061535D">
            <w:pPr>
              <w:pStyle w:val="HSAGTableText"/>
              <w:numPr>
                <w:ilvl w:val="0"/>
                <w:numId w:val="24"/>
              </w:numPr>
              <w:contextualSpacing/>
            </w:pPr>
            <w:r w:rsidRPr="008B5C7B">
              <w:t>Copy of provider directory in Word format or PDF (excerpts are acceptable)</w:t>
            </w:r>
          </w:p>
          <w:p w14:paraId="43131F13" w14:textId="77777777" w:rsidR="0061535D" w:rsidRDefault="0061535D" w:rsidP="0061535D">
            <w:pPr>
              <w:pStyle w:val="HSAGTableText"/>
              <w:numPr>
                <w:ilvl w:val="0"/>
                <w:numId w:val="24"/>
              </w:numPr>
              <w:contextualSpacing/>
            </w:pPr>
            <w:r w:rsidRPr="008B5C7B">
              <w:t>Link to the online provider directory</w:t>
            </w:r>
          </w:p>
          <w:p w14:paraId="70E80315" w14:textId="62571D7D" w:rsidR="0061535D" w:rsidRPr="00903F99" w:rsidRDefault="0061535D" w:rsidP="0061535D">
            <w:pPr>
              <w:pStyle w:val="HSAGTableText"/>
              <w:numPr>
                <w:ilvl w:val="0"/>
                <w:numId w:val="24"/>
              </w:numPr>
              <w:contextualSpacing/>
            </w:pPr>
            <w:r w:rsidRPr="008B5C7B">
              <w:t>HSAG will also use the results of the Provider Directory Checklist</w:t>
            </w:r>
          </w:p>
        </w:tc>
        <w:tc>
          <w:tcPr>
            <w:tcW w:w="1426" w:type="dxa"/>
            <w:vMerge w:val="restart"/>
            <w:shd w:val="clear" w:color="auto" w:fill="FFFFFF" w:themeFill="background1"/>
          </w:tcPr>
          <w:p w14:paraId="79D83BE7" w14:textId="77777777" w:rsidR="0061535D" w:rsidRPr="008B5C7B" w:rsidRDefault="00000000" w:rsidP="0061535D">
            <w:pPr>
              <w:spacing w:before="60" w:after="0"/>
              <w:contextualSpacing/>
              <w:rPr>
                <w:sz w:val="22"/>
              </w:rPr>
            </w:pPr>
            <w:sdt>
              <w:sdtPr>
                <w:rPr>
                  <w:sz w:val="22"/>
                </w:rPr>
                <w:id w:val="-1971506049"/>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Met</w:t>
            </w:r>
          </w:p>
          <w:p w14:paraId="777EFB23" w14:textId="77777777" w:rsidR="0061535D" w:rsidRPr="008B5C7B" w:rsidRDefault="00000000" w:rsidP="0061535D">
            <w:pPr>
              <w:spacing w:before="60" w:after="0"/>
              <w:contextualSpacing/>
              <w:rPr>
                <w:sz w:val="22"/>
              </w:rPr>
            </w:pPr>
            <w:sdt>
              <w:sdtPr>
                <w:rPr>
                  <w:sz w:val="22"/>
                </w:rPr>
                <w:id w:val="787632282"/>
                <w14:checkbox>
                  <w14:checked w14:val="1"/>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Not Met</w:t>
            </w:r>
          </w:p>
          <w:p w14:paraId="5D7565F9" w14:textId="77777777" w:rsidR="0061535D" w:rsidRPr="008B5C7B" w:rsidRDefault="00000000" w:rsidP="0061535D">
            <w:pPr>
              <w:spacing w:before="60" w:after="0"/>
              <w:contextualSpacing/>
              <w:rPr>
                <w:sz w:val="22"/>
              </w:rPr>
            </w:pPr>
            <w:sdt>
              <w:sdtPr>
                <w:rPr>
                  <w:sz w:val="22"/>
                </w:rPr>
                <w:id w:val="2055798046"/>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NA</w:t>
            </w:r>
          </w:p>
          <w:p w14:paraId="0FCB2874" w14:textId="77777777" w:rsidR="0061535D" w:rsidRPr="00903F99" w:rsidRDefault="0061535D" w:rsidP="0061535D">
            <w:pPr>
              <w:spacing w:before="0" w:after="0"/>
              <w:contextualSpacing/>
              <w:rPr>
                <w:sz w:val="22"/>
              </w:rPr>
            </w:pPr>
          </w:p>
        </w:tc>
      </w:tr>
      <w:tr w:rsidR="0061535D" w:rsidRPr="00903F99" w14:paraId="217C46F2" w14:textId="77777777" w:rsidTr="00AD1772">
        <w:trPr>
          <w:trHeight w:val="374"/>
          <w:jc w:val="center"/>
        </w:trPr>
        <w:tc>
          <w:tcPr>
            <w:tcW w:w="6471" w:type="dxa"/>
            <w:gridSpan w:val="2"/>
            <w:vMerge/>
          </w:tcPr>
          <w:p w14:paraId="296DEEB9" w14:textId="77777777" w:rsidR="0061535D" w:rsidRPr="00903F99" w:rsidRDefault="0061535D" w:rsidP="0061535D">
            <w:pPr>
              <w:pStyle w:val="HSAGNumbers"/>
              <w:numPr>
                <w:ilvl w:val="0"/>
                <w:numId w:val="17"/>
              </w:numPr>
              <w:spacing w:before="0" w:after="0"/>
              <w:contextualSpacing/>
            </w:pPr>
          </w:p>
        </w:tc>
        <w:tc>
          <w:tcPr>
            <w:tcW w:w="6114" w:type="dxa"/>
            <w:gridSpan w:val="2"/>
            <w:shd w:val="clear" w:color="auto" w:fill="FFFFFF" w:themeFill="background1"/>
          </w:tcPr>
          <w:p w14:paraId="7BD5EFD3" w14:textId="77777777" w:rsidR="0061535D" w:rsidRPr="008B5C7B" w:rsidRDefault="0061535D" w:rsidP="0061535D">
            <w:pPr>
              <w:pStyle w:val="HSAGTableText"/>
              <w:contextualSpacing/>
              <w:rPr>
                <w:b/>
                <w:bCs/>
              </w:rPr>
            </w:pPr>
            <w:r w:rsidRPr="008B5C7B">
              <w:rPr>
                <w:b/>
                <w:bCs/>
              </w:rPr>
              <w:t>Evidence as Submitted by the PIHP:</w:t>
            </w:r>
          </w:p>
          <w:p w14:paraId="595E60D8" w14:textId="77777777" w:rsidR="0061535D" w:rsidRPr="008B5C7B" w:rsidRDefault="0061535D" w:rsidP="0061535D">
            <w:pPr>
              <w:pStyle w:val="HSAGTableText"/>
              <w:numPr>
                <w:ilvl w:val="0"/>
                <w:numId w:val="30"/>
              </w:numPr>
              <w:contextualSpacing/>
            </w:pPr>
            <w:hyperlink r:id="rId8" w:history="1">
              <w:r w:rsidRPr="008B5C7B">
                <w:rPr>
                  <w:rStyle w:val="Hyperlink"/>
                </w:rPr>
                <w:t>https://www.nmre.org/provider-network/provider-directory</w:t>
              </w:r>
            </w:hyperlink>
            <w:r w:rsidRPr="008B5C7B">
              <w:t xml:space="preserve"> </w:t>
            </w:r>
          </w:p>
          <w:p w14:paraId="0ED4AA74" w14:textId="77777777" w:rsidR="0061535D" w:rsidRDefault="0061535D" w:rsidP="0061535D">
            <w:pPr>
              <w:pStyle w:val="HSAGTableText"/>
              <w:numPr>
                <w:ilvl w:val="0"/>
                <w:numId w:val="30"/>
              </w:numPr>
              <w:contextualSpacing/>
            </w:pPr>
            <w:r w:rsidRPr="008B5C7B">
              <w:t>FY2024 June NMRE Provider PRINT List</w:t>
            </w:r>
          </w:p>
          <w:p w14:paraId="796C06A5" w14:textId="5A83D6CF" w:rsidR="0061535D" w:rsidRPr="00903F99" w:rsidRDefault="0061535D" w:rsidP="0061535D">
            <w:pPr>
              <w:pStyle w:val="HSAGTableText"/>
              <w:numPr>
                <w:ilvl w:val="0"/>
                <w:numId w:val="30"/>
              </w:numPr>
              <w:contextualSpacing/>
            </w:pPr>
            <w:r w:rsidRPr="008B5C7B">
              <w:t>Member Information Policy, Page 2, 7</w:t>
            </w:r>
          </w:p>
        </w:tc>
        <w:tc>
          <w:tcPr>
            <w:tcW w:w="1426" w:type="dxa"/>
            <w:vMerge/>
            <w:shd w:val="clear" w:color="auto" w:fill="FFFFFF" w:themeFill="background1"/>
          </w:tcPr>
          <w:p w14:paraId="4047E72C" w14:textId="77777777" w:rsidR="0061535D" w:rsidRPr="00903F99" w:rsidRDefault="0061535D" w:rsidP="0061535D">
            <w:pPr>
              <w:spacing w:before="0" w:after="0"/>
              <w:contextualSpacing/>
              <w:rPr>
                <w:sz w:val="22"/>
              </w:rPr>
            </w:pPr>
          </w:p>
        </w:tc>
      </w:tr>
      <w:tr w:rsidR="0061535D" w:rsidRPr="00903F99" w14:paraId="091D6D79" w14:textId="77777777" w:rsidTr="00171D87">
        <w:trPr>
          <w:trHeight w:val="374"/>
          <w:jc w:val="center"/>
        </w:trPr>
        <w:tc>
          <w:tcPr>
            <w:tcW w:w="14011" w:type="dxa"/>
            <w:gridSpan w:val="5"/>
            <w:vAlign w:val="center"/>
          </w:tcPr>
          <w:p w14:paraId="37BA8217" w14:textId="0CCE6EDA" w:rsidR="0061535D" w:rsidRPr="00903F99" w:rsidRDefault="0061535D" w:rsidP="0061535D">
            <w:pPr>
              <w:pStyle w:val="HSAGTableText"/>
              <w:contextualSpacing/>
            </w:pPr>
            <w:r w:rsidRPr="008B5C7B">
              <w:rPr>
                <w:b/>
              </w:rPr>
              <w:t xml:space="preserve">PIHP Description of Process: </w:t>
            </w:r>
            <w:r w:rsidRPr="008B5C7B">
              <w:rPr>
                <w:bCs/>
              </w:rPr>
              <w:t xml:space="preserve">The NMRE makes paper directories available by request; printed NMRE directories are printed versions of the NMRE Print lists. The current process for printing </w:t>
            </w:r>
            <w:r w:rsidRPr="00CC74C5">
              <w:t>directories</w:t>
            </w:r>
            <w:r w:rsidRPr="008B5C7B">
              <w:rPr>
                <w:bCs/>
              </w:rPr>
              <w:t xml:space="preserve"> for client distribution is done by the NMRE or CMH directly. The online directory instructs clients on how to obtain copies of the directory.</w:t>
            </w:r>
          </w:p>
        </w:tc>
      </w:tr>
      <w:tr w:rsidR="0061535D" w:rsidRPr="0026679F" w14:paraId="3C9F5437" w14:textId="77777777" w:rsidTr="00171D87">
        <w:trPr>
          <w:trHeight w:val="374"/>
          <w:jc w:val="center"/>
        </w:trPr>
        <w:tc>
          <w:tcPr>
            <w:tcW w:w="14011" w:type="dxa"/>
            <w:gridSpan w:val="5"/>
            <w:tcBorders>
              <w:bottom w:val="single" w:sz="4" w:space="0" w:color="000000"/>
            </w:tcBorders>
            <w:vAlign w:val="center"/>
          </w:tcPr>
          <w:p w14:paraId="667F66BA" w14:textId="77777777" w:rsidR="0061535D" w:rsidRPr="008B5C7B" w:rsidRDefault="0061535D" w:rsidP="0061535D">
            <w:pPr>
              <w:pStyle w:val="HSAGTableText"/>
              <w:contextualSpacing/>
            </w:pPr>
            <w:r w:rsidRPr="008B5C7B">
              <w:rPr>
                <w:b/>
              </w:rPr>
              <w:lastRenderedPageBreak/>
              <w:t>HSAG Findings:</w:t>
            </w:r>
            <w:r w:rsidRPr="008B5C7B">
              <w:t xml:space="preserve"> Although the PIHP’s provider directory included county information for its providers’ locations, the PIHP’s provider directory was </w:t>
            </w:r>
            <w:r w:rsidRPr="003F2192">
              <w:rPr>
                <w:highlight w:val="yellow"/>
              </w:rPr>
              <w:t>not organized by county.</w:t>
            </w:r>
            <w:r w:rsidRPr="008B5C7B">
              <w:t xml:space="preserve"> Additionally, as the provider directory was in a PDF format, members could not filter providers by county. </w:t>
            </w:r>
            <w:r w:rsidRPr="00550523">
              <w:t>Lastly</w:t>
            </w:r>
            <w:r w:rsidRPr="003F2192">
              <w:rPr>
                <w:highlight w:val="yellow"/>
              </w:rPr>
              <w:t>, the PIHP’s and its CMHSPs’ provider directories did not include independent facilitators</w:t>
            </w:r>
            <w:r w:rsidRPr="00550523">
              <w:t>. Following the site review, the PIHP provided HSAG with its CMHSPs’ provider directories. Although one CMHSP’s provider directory contained a category for independent facilitators, no providers were listed under this category. MDHHS confirmed that independent facilitators must be included in the provider directory.</w:t>
            </w:r>
          </w:p>
          <w:p w14:paraId="48FD6883" w14:textId="4094DCFD" w:rsidR="0061535D" w:rsidRPr="0026679F" w:rsidRDefault="0061535D" w:rsidP="0061535D">
            <w:pPr>
              <w:pStyle w:val="HSAGTableText"/>
              <w:spacing w:before="0"/>
            </w:pPr>
            <w:r w:rsidRPr="008B5C7B">
              <w:rPr>
                <w:b/>
                <w:bCs/>
              </w:rPr>
              <w:t xml:space="preserve">Recommendations: </w:t>
            </w:r>
            <w:r w:rsidRPr="008B5C7B">
              <w:t>As the PIHP</w:t>
            </w:r>
            <w:r>
              <w:t>’</w:t>
            </w:r>
            <w:r w:rsidRPr="008B5C7B">
              <w:t>s provider directory included information that translation services were available at certain locations, HSAG strongly recommends that the PIHP update the language information listed in its provider directory to indicate that translation services are available at all provider locations in alignment with the PIHP's policies and procedures. Additionally, although the PIHP’s provider directory contained most of the required information, its CMHSPs’ provider directories did not consistently contain required information. For example</w:t>
            </w:r>
            <w:r w:rsidRPr="003F2192">
              <w:rPr>
                <w:highlight w:val="yellow"/>
              </w:rPr>
              <w:t>, one CMHSP’s provider directory did not contain specific cultural and linguistic capabilities</w:t>
            </w:r>
            <w:r w:rsidRPr="008B5C7B">
              <w:t xml:space="preserve">, and </w:t>
            </w:r>
            <w:r w:rsidRPr="003F2192">
              <w:rPr>
                <w:highlight w:val="yellow"/>
              </w:rPr>
              <w:t>none of the CMHSPs’ provider directories were organized by county</w:t>
            </w:r>
            <w:r w:rsidRPr="008B5C7B">
              <w:t xml:space="preserve">. </w:t>
            </w:r>
            <w:r w:rsidRPr="008B5C7B">
              <w:rPr>
                <w:rFonts w:cstheme="minorBidi"/>
              </w:rPr>
              <w:t xml:space="preserve">As such, HSAG strongly recommends that the PIHP confirm that </w:t>
            </w:r>
            <w:proofErr w:type="gramStart"/>
            <w:r w:rsidRPr="008B5C7B">
              <w:rPr>
                <w:rFonts w:cstheme="minorBidi"/>
              </w:rPr>
              <w:t>all of</w:t>
            </w:r>
            <w:proofErr w:type="gramEnd"/>
            <w:r w:rsidRPr="008B5C7B">
              <w:rPr>
                <w:rFonts w:cstheme="minorBidi"/>
              </w:rPr>
              <w:t xml:space="preserve"> its CMHSPs’ provider directories, if maintained separately, include all requirements under 42 CFR §438.10(h)(1–2) and ensure that its oversight and monitoring process of its CMHSPs include a robust process for evaluating any separately maintained provider directories.</w:t>
            </w:r>
            <w:r w:rsidRPr="008B5C7B">
              <w:rPr>
                <w:bCs/>
              </w:rPr>
              <w:t xml:space="preserve"> Implementation of HSAG’s recommendations related to the CMHSPs’ provider directories will be reviewed during the next compliance review cycle, and the PIHP will automatically receive a </w:t>
            </w:r>
            <w:r w:rsidRPr="008B5C7B">
              <w:rPr>
                <w:bCs/>
                <w:i/>
                <w:iCs/>
              </w:rPr>
              <w:t>Not Met</w:t>
            </w:r>
            <w:r w:rsidRPr="008B5C7B">
              <w:rPr>
                <w:bCs/>
              </w:rPr>
              <w:t xml:space="preserve"> score if HSAG’s recommendations are not adequately addressed.</w:t>
            </w:r>
            <w:r w:rsidRPr="008B5C7B">
              <w:rPr>
                <w:rFonts w:cstheme="minorBidi"/>
              </w:rPr>
              <w:t xml:space="preserve"> </w:t>
            </w:r>
            <w:r w:rsidRPr="003F2192">
              <w:rPr>
                <w:rFonts w:cstheme="minorBidi"/>
                <w:highlight w:val="yellow"/>
              </w:rPr>
              <w:t>HSAG further recommends that the PIHP develop definitions for provider types required in the PIHP’s provider directory</w:t>
            </w:r>
            <w:r w:rsidRPr="008B5C7B">
              <w:rPr>
                <w:rFonts w:cstheme="minorBidi"/>
              </w:rPr>
              <w:t xml:space="preserve"> (e.g., long-term services and supports [LTSS], medical suppliers, ancillary health providers) for clarity about the services that fall under each provider type (e.g., occupational therapy and physical therapy are considered ancillary health providers).</w:t>
            </w:r>
          </w:p>
        </w:tc>
      </w:tr>
      <w:tr w:rsidR="0061535D" w:rsidRPr="0026679F" w14:paraId="76575BBF" w14:textId="77777777" w:rsidTr="00171D87">
        <w:trPr>
          <w:trHeight w:val="374"/>
          <w:jc w:val="center"/>
        </w:trPr>
        <w:tc>
          <w:tcPr>
            <w:tcW w:w="14011" w:type="dxa"/>
            <w:gridSpan w:val="5"/>
            <w:tcBorders>
              <w:top w:val="single" w:sz="4" w:space="0" w:color="000000"/>
              <w:bottom w:val="single" w:sz="4" w:space="0" w:color="auto"/>
            </w:tcBorders>
            <w:vAlign w:val="center"/>
          </w:tcPr>
          <w:p w14:paraId="476E87AA" w14:textId="29EEB392" w:rsidR="0061535D" w:rsidRPr="0026679F" w:rsidRDefault="0061535D" w:rsidP="0061535D">
            <w:pPr>
              <w:pStyle w:val="HSAGTableText"/>
              <w:rPr>
                <w:b/>
              </w:rPr>
            </w:pPr>
            <w:r w:rsidRPr="008B5C7B">
              <w:rPr>
                <w:b/>
              </w:rPr>
              <w:t xml:space="preserve">Required Actions: </w:t>
            </w:r>
            <w:r w:rsidRPr="008B5C7B">
              <w:t xml:space="preserve">The PIHP must ensure that its provider directory, and any delegated CMHSPs’ provider directories, include </w:t>
            </w:r>
            <w:proofErr w:type="gramStart"/>
            <w:r w:rsidRPr="008B5C7B">
              <w:t>all of</w:t>
            </w:r>
            <w:proofErr w:type="gramEnd"/>
            <w:r w:rsidRPr="008B5C7B">
              <w:t xml:space="preserve"> the required information from the Provider Directory Checklist. </w:t>
            </w:r>
          </w:p>
        </w:tc>
      </w:tr>
      <w:tr w:rsidR="0061535D" w:rsidRPr="00D16F05" w14:paraId="73F81028" w14:textId="77777777" w:rsidTr="00AD1772">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1067AA2C" w14:textId="77777777" w:rsidR="0061535D" w:rsidRPr="00D16F05" w:rsidRDefault="0061535D" w:rsidP="0061535D">
            <w:pPr>
              <w:pStyle w:val="HSAGTableText"/>
              <w:keepNext/>
              <w:contextualSpacing/>
              <w:rPr>
                <w:b/>
              </w:rPr>
            </w:pPr>
            <w:r>
              <w:rPr>
                <w:b/>
              </w:rPr>
              <w:t>PIHP Corrective Action Plan</w:t>
            </w:r>
          </w:p>
        </w:tc>
      </w:tr>
      <w:tr w:rsidR="0061535D" w:rsidRPr="00984D92" w14:paraId="607820BC" w14:textId="77777777" w:rsidTr="00AD1772">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E90B4E3" w14:textId="2C631531" w:rsidR="0061535D" w:rsidRPr="00984D92" w:rsidRDefault="0061535D" w:rsidP="0061535D">
            <w:pPr>
              <w:pStyle w:val="HSAGTableText"/>
              <w:contextualSpacing/>
              <w:rPr>
                <w:bCs/>
              </w:rPr>
            </w:pPr>
            <w:r>
              <w:rPr>
                <w:b/>
              </w:rPr>
              <w:t>Root Cause Analysis:</w:t>
            </w:r>
            <w:r w:rsidRPr="003F5489">
              <w:rPr>
                <w:bCs/>
              </w:rPr>
              <w:t xml:space="preserve"> </w:t>
            </w:r>
            <w:r>
              <w:rPr>
                <w:bCs/>
              </w:rPr>
              <w:t xml:space="preserve"> </w:t>
            </w:r>
            <w:r w:rsidRPr="003778E9">
              <w:rPr>
                <w:bCs/>
              </w:rPr>
              <w:t>Th</w:t>
            </w:r>
            <w:r w:rsidR="008940C5">
              <w:rPr>
                <w:bCs/>
              </w:rPr>
              <w:t xml:space="preserve">e specifics of independent facilitators were not previously cited in audit; annual auditing had not been conducted at frequency that identified </w:t>
            </w:r>
            <w:r w:rsidR="00A6225E">
              <w:rPr>
                <w:bCs/>
              </w:rPr>
              <w:t xml:space="preserve">deficiencies </w:t>
            </w:r>
            <w:r w:rsidR="008940C5">
              <w:rPr>
                <w:bCs/>
              </w:rPr>
              <w:t>in</w:t>
            </w:r>
            <w:r w:rsidR="00A6225E">
              <w:rPr>
                <w:bCs/>
              </w:rPr>
              <w:t xml:space="preserve"> the</w:t>
            </w:r>
            <w:r w:rsidR="008940C5">
              <w:rPr>
                <w:bCs/>
              </w:rPr>
              <w:t xml:space="preserve"> CMH provider directories. </w:t>
            </w:r>
          </w:p>
        </w:tc>
      </w:tr>
      <w:tr w:rsidR="0061535D" w:rsidRPr="00FC2C0F" w14:paraId="602CE319" w14:textId="77777777" w:rsidTr="00AD1772">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B8CB5F1" w14:textId="0E2A4665" w:rsidR="0061535D" w:rsidRPr="00FC2C0F" w:rsidRDefault="0061535D" w:rsidP="0061535D">
            <w:pPr>
              <w:pStyle w:val="HSAGTableText"/>
              <w:contextualSpacing/>
              <w:rPr>
                <w:bCs/>
              </w:rPr>
            </w:pPr>
            <w:r>
              <w:rPr>
                <w:b/>
              </w:rPr>
              <w:t>PIHP Remediation Plan</w:t>
            </w:r>
            <w:r w:rsidRPr="00B30934">
              <w:rPr>
                <w:b/>
              </w:rPr>
              <w:t>:</w:t>
            </w:r>
            <w:r>
              <w:rPr>
                <w:bCs/>
              </w:rPr>
              <w:t xml:space="preserve"> </w:t>
            </w:r>
            <w:r w:rsidR="008940C5" w:rsidRPr="003F2192">
              <w:rPr>
                <w:bCs/>
                <w:highlight w:val="yellow"/>
              </w:rPr>
              <w:t>The NMRE will collaborate with its 5 regional CMHSPs to ensure its regional directories are searchable by a county filter, or if not interactive, organized by county. Independent facilitation will be listed. The NMRE will ensure that it</w:t>
            </w:r>
            <w:r w:rsidR="00A6225E" w:rsidRPr="003F2192">
              <w:rPr>
                <w:bCs/>
                <w:highlight w:val="yellow"/>
              </w:rPr>
              <w:t>s directories</w:t>
            </w:r>
            <w:r w:rsidR="008940C5" w:rsidRPr="003F2192">
              <w:rPr>
                <w:bCs/>
                <w:highlight w:val="yellow"/>
              </w:rPr>
              <w:t>, as well as its contracted CMHSPs, specify cultural and linguistic capabilities</w:t>
            </w:r>
            <w:r w:rsidR="008940C5" w:rsidRPr="008940C5">
              <w:rPr>
                <w:bCs/>
              </w:rPr>
              <w:t xml:space="preserve">, to include languages spoken at the clinic and translation services as well as if the service location has cultural competency trained staff. The NMRE will develop definitions for services listed on its regional directories in a procedural document to ensure continuity of terms and listings across our region. </w:t>
            </w:r>
          </w:p>
        </w:tc>
      </w:tr>
      <w:tr w:rsidR="0061535D" w:rsidRPr="00FC2C0F" w14:paraId="6C79CCF0" w14:textId="77777777" w:rsidTr="00AD1772">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5111C5C" w14:textId="2A47F68F" w:rsidR="0061535D" w:rsidRPr="00FC2C0F" w:rsidRDefault="0061535D" w:rsidP="0061535D">
            <w:pPr>
              <w:pStyle w:val="HSAGTableText"/>
              <w:contextualSpacing/>
              <w:rPr>
                <w:bCs/>
              </w:rPr>
            </w:pPr>
            <w:r w:rsidRPr="00B30934">
              <w:rPr>
                <w:b/>
              </w:rPr>
              <w:t>Responsible Individual(s):</w:t>
            </w:r>
            <w:r>
              <w:rPr>
                <w:bCs/>
              </w:rPr>
              <w:t xml:space="preserve"> Chris VanWagoner, Provider Network Manager</w:t>
            </w:r>
          </w:p>
        </w:tc>
      </w:tr>
      <w:tr w:rsidR="0061535D" w:rsidRPr="00FC2C0F" w14:paraId="06F2ECF3" w14:textId="77777777" w:rsidTr="00AD1772">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17B7F306" w14:textId="45B957E9" w:rsidR="0061535D" w:rsidRPr="00FC2C0F" w:rsidRDefault="0061535D" w:rsidP="0061535D">
            <w:pPr>
              <w:pStyle w:val="HSAGTableText"/>
              <w:contextualSpacing/>
              <w:rPr>
                <w:bCs/>
              </w:rPr>
            </w:pPr>
            <w:r w:rsidRPr="00B30934">
              <w:rPr>
                <w:b/>
              </w:rPr>
              <w:lastRenderedPageBreak/>
              <w:t>Timeline:</w:t>
            </w:r>
            <w:r>
              <w:rPr>
                <w:bCs/>
              </w:rPr>
              <w:t xml:space="preserve"> </w:t>
            </w:r>
            <w:r w:rsidR="008940C5">
              <w:rPr>
                <w:bCs/>
              </w:rPr>
              <w:t>To commence immediately with completion date of 8/1/2025</w:t>
            </w:r>
          </w:p>
        </w:tc>
      </w:tr>
      <w:tr w:rsidR="0061535D" w14:paraId="64E42D31" w14:textId="77777777" w:rsidTr="00AD1772">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18" w:space="0" w:color="00549E" w:themeColor="text2"/>
            </w:tcBorders>
            <w:shd w:val="clear" w:color="auto" w:fill="F2F2F2" w:themeFill="background1" w:themeFillShade="F2"/>
          </w:tcPr>
          <w:p w14:paraId="3078C97F" w14:textId="77777777" w:rsidR="0061535D" w:rsidRPr="00FC2C0F" w:rsidRDefault="0061535D" w:rsidP="0061535D">
            <w:pPr>
              <w:pStyle w:val="HSAGTableText"/>
              <w:contextualSpacing/>
              <w:rPr>
                <w:bCs/>
              </w:rPr>
            </w:pPr>
            <w:r>
              <w:rPr>
                <w:b/>
              </w:rPr>
              <w:t>MDHHS/HSAG Response:</w:t>
            </w:r>
            <w:r>
              <w:rPr>
                <w:bCs/>
              </w:rPr>
              <w:t xml:space="preserve"> </w:t>
            </w:r>
          </w:p>
        </w:tc>
        <w:tc>
          <w:tcPr>
            <w:tcW w:w="3579" w:type="dxa"/>
            <w:gridSpan w:val="2"/>
            <w:tcBorders>
              <w:top w:val="single" w:sz="4" w:space="0" w:color="auto"/>
              <w:bottom w:val="single" w:sz="18" w:space="0" w:color="00549E" w:themeColor="text2"/>
            </w:tcBorders>
            <w:shd w:val="clear" w:color="auto" w:fill="F2F2F2" w:themeFill="background1" w:themeFillShade="F2"/>
          </w:tcPr>
          <w:p w14:paraId="24D6CEDA" w14:textId="77777777" w:rsidR="0061535D" w:rsidRPr="00C123EE" w:rsidRDefault="00000000" w:rsidP="0061535D">
            <w:pPr>
              <w:pStyle w:val="HSAGTableText"/>
              <w:contextualSpacing/>
              <w:rPr>
                <w:bCs/>
              </w:rPr>
            </w:pPr>
            <w:sdt>
              <w:sdtPr>
                <w:rPr>
                  <w:bCs/>
                </w:rPr>
                <w:id w:val="-637416038"/>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w:t>
            </w:r>
          </w:p>
          <w:p w14:paraId="5FCA4022" w14:textId="77777777" w:rsidR="0061535D" w:rsidRPr="00C123EE" w:rsidRDefault="00000000" w:rsidP="0061535D">
            <w:pPr>
              <w:pStyle w:val="HSAGTableText"/>
              <w:contextualSpacing/>
              <w:rPr>
                <w:bCs/>
              </w:rPr>
            </w:pPr>
            <w:sdt>
              <w:sdtPr>
                <w:rPr>
                  <w:bCs/>
                </w:rPr>
                <w:id w:val="-231088573"/>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 </w:t>
            </w:r>
            <w:r w:rsidR="0061535D">
              <w:rPr>
                <w:bCs/>
              </w:rPr>
              <w:t>W</w:t>
            </w:r>
            <w:r w:rsidR="0061535D" w:rsidRPr="00C123EE">
              <w:rPr>
                <w:bCs/>
              </w:rPr>
              <w:t>ith Recommendations</w:t>
            </w:r>
          </w:p>
          <w:p w14:paraId="6D0B485E" w14:textId="77777777" w:rsidR="0061535D" w:rsidRDefault="00000000" w:rsidP="0061535D">
            <w:pPr>
              <w:pStyle w:val="HSAGTableText"/>
              <w:contextualSpacing/>
              <w:rPr>
                <w:b/>
              </w:rPr>
            </w:pPr>
            <w:sdt>
              <w:sdtPr>
                <w:rPr>
                  <w:bCs/>
                </w:rPr>
                <w:id w:val="578565874"/>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Not Accepted</w:t>
            </w:r>
          </w:p>
        </w:tc>
      </w:tr>
      <w:tr w:rsidR="0061535D" w:rsidRPr="00903F99" w14:paraId="54B96514" w14:textId="77777777" w:rsidTr="00AD1772">
        <w:trPr>
          <w:trHeight w:val="374"/>
          <w:jc w:val="center"/>
        </w:trPr>
        <w:tc>
          <w:tcPr>
            <w:tcW w:w="6471" w:type="dxa"/>
            <w:gridSpan w:val="2"/>
            <w:vMerge w:val="restart"/>
          </w:tcPr>
          <w:p w14:paraId="63BC6F9B" w14:textId="77777777" w:rsidR="0061535D" w:rsidRPr="008B5C7B" w:rsidRDefault="0061535D" w:rsidP="0061535D">
            <w:pPr>
              <w:pStyle w:val="ListNoNum"/>
              <w:rPr>
                <w:iCs/>
                <w:sz w:val="18"/>
                <w:szCs w:val="18"/>
              </w:rPr>
            </w:pPr>
            <w:r w:rsidRPr="008B5C7B">
              <w:rPr>
                <w:spacing w:val="-4"/>
              </w:rPr>
              <w:t>21.</w:t>
            </w:r>
            <w:r w:rsidRPr="008B5C7B">
              <w:rPr>
                <w:spacing w:val="-4"/>
              </w:rPr>
              <w:tab/>
            </w:r>
            <w:r w:rsidRPr="008B5C7B">
              <w:rPr>
                <w:iCs/>
              </w:rPr>
              <w:t>The PIHP’s provider directory is made available on the PIHP’s website in a machine-readable file and format as specified by the Secretary.</w:t>
            </w:r>
          </w:p>
          <w:p w14:paraId="4F128A10" w14:textId="77777777" w:rsidR="0061535D" w:rsidRPr="008B5C7B" w:rsidRDefault="0061535D" w:rsidP="0061535D">
            <w:pPr>
              <w:pStyle w:val="HSAGNumbers"/>
              <w:numPr>
                <w:ilvl w:val="0"/>
                <w:numId w:val="0"/>
              </w:numPr>
              <w:ind w:left="720"/>
              <w:contextualSpacing/>
              <w:jc w:val="right"/>
              <w:rPr>
                <w:iCs/>
                <w:sz w:val="18"/>
                <w:szCs w:val="18"/>
              </w:rPr>
            </w:pPr>
          </w:p>
          <w:p w14:paraId="15477237" w14:textId="77777777" w:rsidR="0061535D" w:rsidRPr="008B5C7B" w:rsidRDefault="0061535D" w:rsidP="0061535D">
            <w:pPr>
              <w:pStyle w:val="HSAGNumbers"/>
              <w:numPr>
                <w:ilvl w:val="0"/>
                <w:numId w:val="0"/>
              </w:numPr>
              <w:ind w:left="720"/>
              <w:contextualSpacing/>
              <w:jc w:val="right"/>
              <w:rPr>
                <w:iCs/>
                <w:sz w:val="18"/>
                <w:szCs w:val="18"/>
              </w:rPr>
            </w:pPr>
            <w:r w:rsidRPr="008B5C7B">
              <w:rPr>
                <w:iCs/>
                <w:sz w:val="18"/>
                <w:szCs w:val="18"/>
              </w:rPr>
              <w:t>42 CFR §438.10(h)(4)</w:t>
            </w:r>
          </w:p>
          <w:p w14:paraId="70F558C2" w14:textId="77777777" w:rsidR="0061535D" w:rsidRPr="008B5C7B" w:rsidRDefault="0061535D" w:rsidP="0061535D">
            <w:pPr>
              <w:pStyle w:val="HSAGNumbers"/>
              <w:numPr>
                <w:ilvl w:val="0"/>
                <w:numId w:val="0"/>
              </w:numPr>
              <w:spacing w:after="0"/>
              <w:ind w:left="720"/>
              <w:contextualSpacing/>
              <w:jc w:val="right"/>
              <w:rPr>
                <w:iCs/>
                <w:sz w:val="18"/>
                <w:szCs w:val="18"/>
              </w:rPr>
            </w:pPr>
            <w:r w:rsidRPr="008B5C7B">
              <w:rPr>
                <w:iCs/>
                <w:sz w:val="18"/>
                <w:szCs w:val="18"/>
              </w:rPr>
              <w:t>42 CFR §457.1207</w:t>
            </w:r>
          </w:p>
          <w:p w14:paraId="20A69223" w14:textId="0F5AEDD6" w:rsidR="0061535D" w:rsidRPr="00A732BB" w:rsidRDefault="0061535D" w:rsidP="0061535D">
            <w:pPr>
              <w:pStyle w:val="HSAGTableContracttext"/>
              <w:keepNext/>
              <w:spacing w:before="0" w:after="0"/>
              <w:ind w:left="1440"/>
              <w:contextualSpacing/>
              <w:rPr>
                <w:i w:val="0"/>
                <w:szCs w:val="18"/>
              </w:rPr>
            </w:pPr>
            <w:r w:rsidRPr="00A732BB">
              <w:rPr>
                <w:i w:val="0"/>
                <w:sz w:val="18"/>
                <w:szCs w:val="18"/>
              </w:rPr>
              <w:t xml:space="preserve">Contract Schedule A–1(M)(1)(c) </w:t>
            </w:r>
          </w:p>
        </w:tc>
        <w:tc>
          <w:tcPr>
            <w:tcW w:w="6114" w:type="dxa"/>
            <w:gridSpan w:val="2"/>
            <w:shd w:val="clear" w:color="auto" w:fill="FFFFFF" w:themeFill="background1"/>
          </w:tcPr>
          <w:p w14:paraId="2E62D8D3" w14:textId="77777777" w:rsidR="0061535D" w:rsidRPr="008B5C7B" w:rsidRDefault="0061535D" w:rsidP="0061535D">
            <w:pPr>
              <w:pStyle w:val="HSAGTableText"/>
              <w:contextualSpacing/>
              <w:rPr>
                <w:b/>
                <w:bCs/>
              </w:rPr>
            </w:pPr>
            <w:r w:rsidRPr="008B5C7B">
              <w:rPr>
                <w:b/>
                <w:bCs/>
              </w:rPr>
              <w:t>HSAG Required Evidence:</w:t>
            </w:r>
          </w:p>
          <w:p w14:paraId="2124E554" w14:textId="77777777" w:rsidR="0061535D" w:rsidRPr="008B5C7B" w:rsidRDefault="0061535D" w:rsidP="0061535D">
            <w:pPr>
              <w:pStyle w:val="HSAGTableText"/>
              <w:numPr>
                <w:ilvl w:val="0"/>
                <w:numId w:val="24"/>
              </w:numPr>
              <w:contextualSpacing/>
            </w:pPr>
            <w:r w:rsidRPr="008B5C7B">
              <w:t>Policies and procedures</w:t>
            </w:r>
          </w:p>
          <w:p w14:paraId="1F7E96B8" w14:textId="77777777" w:rsidR="0061535D" w:rsidRPr="008B5C7B" w:rsidRDefault="0061535D" w:rsidP="0061535D">
            <w:pPr>
              <w:pStyle w:val="HSAGTableText"/>
              <w:numPr>
                <w:ilvl w:val="0"/>
                <w:numId w:val="24"/>
              </w:numPr>
              <w:contextualSpacing/>
            </w:pPr>
            <w:r w:rsidRPr="008B5C7B">
              <w:t xml:space="preserve">Confirmation of machine-readable provider directory (e.g., .JSON format) </w:t>
            </w:r>
          </w:p>
          <w:p w14:paraId="71235CD8" w14:textId="77777777" w:rsidR="0061535D" w:rsidRDefault="0061535D" w:rsidP="0061535D">
            <w:pPr>
              <w:pStyle w:val="HSAGTableText"/>
              <w:numPr>
                <w:ilvl w:val="0"/>
                <w:numId w:val="24"/>
              </w:numPr>
              <w:contextualSpacing/>
            </w:pPr>
            <w:r w:rsidRPr="008B5C7B">
              <w:t>If the provider directory is a delegated function, confirmation of delegated entities’ machine-readable provider directories</w:t>
            </w:r>
          </w:p>
          <w:p w14:paraId="3140FA52" w14:textId="2D09EF05" w:rsidR="0061535D" w:rsidRPr="00903F99" w:rsidRDefault="0061535D" w:rsidP="0061535D">
            <w:pPr>
              <w:pStyle w:val="HSAGTableText"/>
              <w:numPr>
                <w:ilvl w:val="0"/>
                <w:numId w:val="24"/>
              </w:numPr>
              <w:contextualSpacing/>
            </w:pPr>
            <w:r w:rsidRPr="008B5C7B">
              <w:t>Link to the machine-readable provider directory on website</w:t>
            </w:r>
          </w:p>
        </w:tc>
        <w:tc>
          <w:tcPr>
            <w:tcW w:w="1426" w:type="dxa"/>
            <w:vMerge w:val="restart"/>
            <w:shd w:val="clear" w:color="auto" w:fill="FFFFFF" w:themeFill="background1"/>
          </w:tcPr>
          <w:p w14:paraId="4F61FD96" w14:textId="77777777" w:rsidR="0061535D" w:rsidRPr="008B5C7B" w:rsidRDefault="00000000" w:rsidP="0061535D">
            <w:pPr>
              <w:spacing w:before="60" w:after="0"/>
              <w:contextualSpacing/>
              <w:rPr>
                <w:sz w:val="22"/>
              </w:rPr>
            </w:pPr>
            <w:sdt>
              <w:sdtPr>
                <w:rPr>
                  <w:sz w:val="22"/>
                </w:rPr>
                <w:id w:val="1809972209"/>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Met</w:t>
            </w:r>
          </w:p>
          <w:p w14:paraId="7D4A3097" w14:textId="77777777" w:rsidR="0061535D" w:rsidRPr="008B5C7B" w:rsidRDefault="00000000" w:rsidP="0061535D">
            <w:pPr>
              <w:spacing w:before="60" w:after="0"/>
              <w:contextualSpacing/>
              <w:rPr>
                <w:sz w:val="22"/>
              </w:rPr>
            </w:pPr>
            <w:sdt>
              <w:sdtPr>
                <w:rPr>
                  <w:sz w:val="22"/>
                </w:rPr>
                <w:id w:val="-1324964304"/>
                <w14:checkbox>
                  <w14:checked w14:val="1"/>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Not Met</w:t>
            </w:r>
          </w:p>
          <w:p w14:paraId="22370D8A" w14:textId="77777777" w:rsidR="0061535D" w:rsidRPr="008B5C7B" w:rsidRDefault="00000000" w:rsidP="0061535D">
            <w:pPr>
              <w:spacing w:before="60" w:after="0"/>
              <w:contextualSpacing/>
              <w:rPr>
                <w:sz w:val="22"/>
              </w:rPr>
            </w:pPr>
            <w:sdt>
              <w:sdtPr>
                <w:rPr>
                  <w:sz w:val="22"/>
                </w:rPr>
                <w:id w:val="-641043948"/>
                <w14:checkbox>
                  <w14:checked w14:val="0"/>
                  <w14:checkedState w14:val="2612" w14:font="MS Gothic"/>
                  <w14:uncheckedState w14:val="2610" w14:font="MS Gothic"/>
                </w14:checkbox>
              </w:sdtPr>
              <w:sdtContent>
                <w:r w:rsidR="0061535D" w:rsidRPr="008B5C7B">
                  <w:rPr>
                    <w:rFonts w:ascii="MS Gothic" w:eastAsia="MS Gothic" w:hAnsi="MS Gothic"/>
                    <w:sz w:val="22"/>
                  </w:rPr>
                  <w:t>☐</w:t>
                </w:r>
              </w:sdtContent>
            </w:sdt>
            <w:r w:rsidR="0061535D" w:rsidRPr="008B5C7B">
              <w:rPr>
                <w:sz w:val="22"/>
              </w:rPr>
              <w:t xml:space="preserve"> NA</w:t>
            </w:r>
          </w:p>
          <w:p w14:paraId="24CFD8B5" w14:textId="77777777" w:rsidR="0061535D" w:rsidRPr="00903F99" w:rsidRDefault="0061535D" w:rsidP="0061535D">
            <w:pPr>
              <w:spacing w:before="0" w:after="0"/>
              <w:contextualSpacing/>
              <w:rPr>
                <w:sz w:val="22"/>
              </w:rPr>
            </w:pPr>
          </w:p>
        </w:tc>
      </w:tr>
      <w:tr w:rsidR="0061535D" w:rsidRPr="00903F99" w14:paraId="5481B52B" w14:textId="77777777" w:rsidTr="00AD1772">
        <w:trPr>
          <w:trHeight w:val="374"/>
          <w:jc w:val="center"/>
        </w:trPr>
        <w:tc>
          <w:tcPr>
            <w:tcW w:w="6471" w:type="dxa"/>
            <w:gridSpan w:val="2"/>
            <w:vMerge/>
          </w:tcPr>
          <w:p w14:paraId="67679B7C" w14:textId="77777777" w:rsidR="0061535D" w:rsidRPr="00903F99" w:rsidRDefault="0061535D" w:rsidP="0061535D">
            <w:pPr>
              <w:pStyle w:val="HSAGNumbers"/>
              <w:numPr>
                <w:ilvl w:val="0"/>
                <w:numId w:val="17"/>
              </w:numPr>
              <w:spacing w:before="0" w:after="0"/>
              <w:contextualSpacing/>
            </w:pPr>
          </w:p>
        </w:tc>
        <w:tc>
          <w:tcPr>
            <w:tcW w:w="6114" w:type="dxa"/>
            <w:gridSpan w:val="2"/>
            <w:shd w:val="clear" w:color="auto" w:fill="FFFFFF" w:themeFill="background1"/>
          </w:tcPr>
          <w:p w14:paraId="350F2433" w14:textId="77777777" w:rsidR="0061535D" w:rsidRPr="008B5C7B" w:rsidRDefault="0061535D" w:rsidP="0061535D">
            <w:pPr>
              <w:pStyle w:val="HSAGTableText"/>
              <w:contextualSpacing/>
              <w:rPr>
                <w:b/>
                <w:bCs/>
              </w:rPr>
            </w:pPr>
            <w:r w:rsidRPr="008B5C7B">
              <w:rPr>
                <w:b/>
                <w:bCs/>
              </w:rPr>
              <w:t>Evidence as Submitted by the PIHP:</w:t>
            </w:r>
          </w:p>
          <w:p w14:paraId="20EC93CB" w14:textId="77777777" w:rsidR="0061535D" w:rsidRPr="008B5C7B" w:rsidRDefault="0061535D" w:rsidP="0061535D">
            <w:pPr>
              <w:pStyle w:val="HSAGTableText"/>
              <w:numPr>
                <w:ilvl w:val="0"/>
                <w:numId w:val="31"/>
              </w:numPr>
              <w:contextualSpacing/>
            </w:pPr>
            <w:r w:rsidRPr="008B5C7B">
              <w:t>Customer Handbook Policy: Page 2, Policy C., Page 3, H.</w:t>
            </w:r>
          </w:p>
          <w:p w14:paraId="2EEE8F5D" w14:textId="77777777" w:rsidR="0061535D" w:rsidRPr="008B5C7B" w:rsidRDefault="0061535D" w:rsidP="0061535D">
            <w:pPr>
              <w:pStyle w:val="HSAGTableText"/>
              <w:numPr>
                <w:ilvl w:val="0"/>
                <w:numId w:val="31"/>
              </w:numPr>
              <w:contextualSpacing/>
            </w:pPr>
            <w:r w:rsidRPr="008B5C7B">
              <w:t>CSV June FY2024 NMRE Provider List</w:t>
            </w:r>
          </w:p>
          <w:p w14:paraId="10FEBA9B" w14:textId="77777777" w:rsidR="0061535D" w:rsidRPr="008B5C7B" w:rsidRDefault="0061535D" w:rsidP="0061535D">
            <w:pPr>
              <w:pStyle w:val="HSAGTableText"/>
              <w:numPr>
                <w:ilvl w:val="0"/>
                <w:numId w:val="31"/>
              </w:numPr>
              <w:contextualSpacing/>
            </w:pPr>
            <w:r w:rsidRPr="008B5C7B">
              <w:t>AVCMHA Provider Directory June 2024</w:t>
            </w:r>
          </w:p>
          <w:p w14:paraId="17497B4B" w14:textId="77777777" w:rsidR="0061535D" w:rsidRPr="008B5C7B" w:rsidRDefault="0061535D" w:rsidP="0061535D">
            <w:pPr>
              <w:pStyle w:val="HSAGTableText"/>
              <w:numPr>
                <w:ilvl w:val="0"/>
                <w:numId w:val="31"/>
              </w:numPr>
              <w:contextualSpacing/>
            </w:pPr>
            <w:r w:rsidRPr="008B5C7B">
              <w:t>NCCMH 2024 0625 Provider Directory</w:t>
            </w:r>
          </w:p>
          <w:p w14:paraId="790B9B73" w14:textId="77777777" w:rsidR="0061535D" w:rsidRPr="008B5C7B" w:rsidRDefault="0061535D" w:rsidP="0061535D">
            <w:pPr>
              <w:pStyle w:val="HSAGTableText"/>
              <w:numPr>
                <w:ilvl w:val="0"/>
                <w:numId w:val="31"/>
              </w:numPr>
              <w:contextualSpacing/>
            </w:pPr>
            <w:r w:rsidRPr="008B5C7B">
              <w:t>NLCMH Provider Directory 06192024</w:t>
            </w:r>
          </w:p>
          <w:p w14:paraId="4D577540" w14:textId="77777777" w:rsidR="0061535D" w:rsidRPr="008B5C7B" w:rsidRDefault="0061535D" w:rsidP="0061535D">
            <w:pPr>
              <w:pStyle w:val="HSAGTableText"/>
              <w:numPr>
                <w:ilvl w:val="0"/>
                <w:numId w:val="31"/>
              </w:numPr>
              <w:contextualSpacing/>
            </w:pPr>
            <w:r w:rsidRPr="008B5C7B">
              <w:t>NEMCMH Provider Directory June 2024</w:t>
            </w:r>
          </w:p>
          <w:p w14:paraId="2F39F670" w14:textId="77777777" w:rsidR="0061535D" w:rsidRPr="008B5C7B" w:rsidRDefault="0061535D" w:rsidP="0061535D">
            <w:pPr>
              <w:pStyle w:val="HSAGTableText"/>
              <w:numPr>
                <w:ilvl w:val="0"/>
                <w:numId w:val="31"/>
              </w:numPr>
              <w:contextualSpacing/>
            </w:pPr>
            <w:r w:rsidRPr="008B5C7B">
              <w:t>CWN Provider Directory 06192024</w:t>
            </w:r>
          </w:p>
          <w:p w14:paraId="5DAFE686" w14:textId="77777777" w:rsidR="0061535D" w:rsidRPr="008B5C7B" w:rsidRDefault="0061535D" w:rsidP="0061535D">
            <w:pPr>
              <w:pStyle w:val="HSAGTableText"/>
              <w:numPr>
                <w:ilvl w:val="0"/>
                <w:numId w:val="31"/>
              </w:numPr>
              <w:contextualSpacing/>
            </w:pPr>
            <w:hyperlink r:id="rId9" w:history="1">
              <w:r w:rsidRPr="008B5C7B">
                <w:rPr>
                  <w:rStyle w:val="Hyperlink"/>
                </w:rPr>
                <w:t>https://www.nmre.org/provider-network/provider-directory</w:t>
              </w:r>
            </w:hyperlink>
          </w:p>
          <w:p w14:paraId="402B9997" w14:textId="77777777" w:rsidR="0061535D" w:rsidRPr="008B5C7B" w:rsidRDefault="0061535D" w:rsidP="0061535D">
            <w:pPr>
              <w:pStyle w:val="HSAGTableText"/>
              <w:numPr>
                <w:ilvl w:val="0"/>
                <w:numId w:val="31"/>
              </w:numPr>
              <w:contextualSpacing/>
            </w:pPr>
            <w:hyperlink r:id="rId10" w:history="1">
              <w:r w:rsidRPr="008B5C7B">
                <w:rPr>
                  <w:rStyle w:val="Hyperlink"/>
                </w:rPr>
                <w:t>https://www.centrawellness.org/about/provider-panel.html</w:t>
              </w:r>
            </w:hyperlink>
          </w:p>
          <w:p w14:paraId="63B019CF" w14:textId="77777777" w:rsidR="0061535D" w:rsidRPr="008B5C7B" w:rsidRDefault="0061535D" w:rsidP="0061535D">
            <w:pPr>
              <w:pStyle w:val="HSAGTableText"/>
              <w:numPr>
                <w:ilvl w:val="0"/>
                <w:numId w:val="31"/>
              </w:numPr>
              <w:contextualSpacing/>
            </w:pPr>
            <w:hyperlink r:id="rId11" w:history="1">
              <w:r w:rsidRPr="008B5C7B">
                <w:rPr>
                  <w:rStyle w:val="Hyperlink"/>
                </w:rPr>
                <w:t>https://www.nemcmh.org/about/contract-provider-directory.html</w:t>
              </w:r>
            </w:hyperlink>
          </w:p>
          <w:p w14:paraId="75DAFFE0" w14:textId="77777777" w:rsidR="0061535D" w:rsidRPr="008B5C7B" w:rsidRDefault="0061535D" w:rsidP="0061535D">
            <w:pPr>
              <w:pStyle w:val="HSAGTableText"/>
              <w:numPr>
                <w:ilvl w:val="0"/>
                <w:numId w:val="31"/>
              </w:numPr>
              <w:contextualSpacing/>
            </w:pPr>
            <w:hyperlink r:id="rId12" w:history="1">
              <w:r w:rsidRPr="008B5C7B">
                <w:rPr>
                  <w:rStyle w:val="Hyperlink"/>
                </w:rPr>
                <w:t>https://www.avcmh.org/resources</w:t>
              </w:r>
            </w:hyperlink>
          </w:p>
          <w:p w14:paraId="4CEA1648" w14:textId="77777777" w:rsidR="0061535D" w:rsidRPr="00AD1772" w:rsidRDefault="0061535D" w:rsidP="0061535D">
            <w:pPr>
              <w:pStyle w:val="HSAGTableText"/>
              <w:numPr>
                <w:ilvl w:val="0"/>
                <w:numId w:val="31"/>
              </w:numPr>
              <w:contextualSpacing/>
              <w:rPr>
                <w:rStyle w:val="Hyperlink"/>
                <w:color w:val="000000" w:themeColor="text1"/>
                <w:u w:val="none"/>
              </w:rPr>
            </w:pPr>
            <w:hyperlink r:id="rId13" w:history="1">
              <w:r w:rsidRPr="008B5C7B">
                <w:rPr>
                  <w:rStyle w:val="Hyperlink"/>
                </w:rPr>
                <w:t>https://www.northernlakescmh.org/services/how-to-access-services/provider-directory/</w:t>
              </w:r>
            </w:hyperlink>
          </w:p>
          <w:p w14:paraId="0CC4E17B" w14:textId="1A085679" w:rsidR="0061535D" w:rsidRPr="00903F99" w:rsidRDefault="0061535D" w:rsidP="0061535D">
            <w:pPr>
              <w:pStyle w:val="HSAGTableText"/>
              <w:numPr>
                <w:ilvl w:val="0"/>
                <w:numId w:val="31"/>
              </w:numPr>
              <w:contextualSpacing/>
            </w:pPr>
            <w:r w:rsidRPr="008B5C7B">
              <w:t>Provider-Directory_13FEB2024.pdf (norcocmh.org)</w:t>
            </w:r>
          </w:p>
        </w:tc>
        <w:tc>
          <w:tcPr>
            <w:tcW w:w="1426" w:type="dxa"/>
            <w:vMerge/>
            <w:shd w:val="clear" w:color="auto" w:fill="FFFFFF" w:themeFill="background1"/>
          </w:tcPr>
          <w:p w14:paraId="780AE1B4" w14:textId="77777777" w:rsidR="0061535D" w:rsidRPr="00903F99" w:rsidRDefault="0061535D" w:rsidP="0061535D">
            <w:pPr>
              <w:spacing w:before="0" w:after="0"/>
              <w:contextualSpacing/>
              <w:rPr>
                <w:sz w:val="22"/>
              </w:rPr>
            </w:pPr>
          </w:p>
        </w:tc>
      </w:tr>
      <w:tr w:rsidR="0061535D" w:rsidRPr="00903F99" w14:paraId="77A9464B" w14:textId="77777777" w:rsidTr="00171D87">
        <w:trPr>
          <w:trHeight w:val="374"/>
          <w:jc w:val="center"/>
        </w:trPr>
        <w:tc>
          <w:tcPr>
            <w:tcW w:w="14011" w:type="dxa"/>
            <w:gridSpan w:val="5"/>
            <w:vAlign w:val="center"/>
          </w:tcPr>
          <w:p w14:paraId="0F10195A" w14:textId="57734FE8" w:rsidR="0061535D" w:rsidRPr="00903F99" w:rsidRDefault="0061535D" w:rsidP="0061535D">
            <w:pPr>
              <w:pStyle w:val="HSAGTableText"/>
            </w:pPr>
            <w:r w:rsidRPr="008B5C7B">
              <w:rPr>
                <w:b/>
              </w:rPr>
              <w:lastRenderedPageBreak/>
              <w:t>PIHP Description of Process:</w:t>
            </w:r>
            <w:r w:rsidRPr="008B5C7B">
              <w:t xml:space="preserve"> The NMRE directory is maintained in a .CSV file. This is updated immediately upon any notification of provider change. Upon each change of the .CSV file, the NMRE uploads the newest version of the .CSV to the interactive directory on the NMRE website. This is completed monthly, or upon changes, whichever is sooner.</w:t>
            </w:r>
          </w:p>
        </w:tc>
      </w:tr>
      <w:tr w:rsidR="0061535D" w:rsidRPr="0026679F" w14:paraId="2FC18CDB" w14:textId="77777777" w:rsidTr="00171D87">
        <w:trPr>
          <w:trHeight w:val="374"/>
          <w:jc w:val="center"/>
        </w:trPr>
        <w:tc>
          <w:tcPr>
            <w:tcW w:w="14011" w:type="dxa"/>
            <w:gridSpan w:val="5"/>
            <w:tcBorders>
              <w:bottom w:val="single" w:sz="4" w:space="0" w:color="000000"/>
            </w:tcBorders>
            <w:vAlign w:val="center"/>
          </w:tcPr>
          <w:p w14:paraId="33FA98B8" w14:textId="7DCD5D08" w:rsidR="0061535D" w:rsidRPr="0026679F" w:rsidRDefault="0061535D" w:rsidP="0061535D">
            <w:pPr>
              <w:pStyle w:val="HSAGTableText"/>
            </w:pPr>
            <w:r w:rsidRPr="008B5C7B">
              <w:rPr>
                <w:b/>
              </w:rPr>
              <w:t>HSAG Findings:</w:t>
            </w:r>
            <w:r w:rsidRPr="008B5C7B">
              <w:t xml:space="preserve"> The PIHP’s provider directory was not available on its website in a machine-readable file and format. Although the PIHP provided HSAG with a CSV version of its provider directory, that version of the PIHP’s provider directory was not available on its website. </w:t>
            </w:r>
          </w:p>
        </w:tc>
      </w:tr>
      <w:tr w:rsidR="0061535D" w:rsidRPr="0026679F" w14:paraId="198D840C" w14:textId="77777777" w:rsidTr="00171D87">
        <w:trPr>
          <w:trHeight w:val="374"/>
          <w:jc w:val="center"/>
        </w:trPr>
        <w:tc>
          <w:tcPr>
            <w:tcW w:w="14011" w:type="dxa"/>
            <w:gridSpan w:val="5"/>
            <w:tcBorders>
              <w:top w:val="single" w:sz="4" w:space="0" w:color="000000"/>
              <w:bottom w:val="single" w:sz="4" w:space="0" w:color="auto"/>
            </w:tcBorders>
            <w:vAlign w:val="center"/>
          </w:tcPr>
          <w:p w14:paraId="2F45885F" w14:textId="4A76EF5F" w:rsidR="0061535D" w:rsidRPr="0026679F" w:rsidRDefault="0061535D" w:rsidP="0061535D">
            <w:pPr>
              <w:pStyle w:val="HSAGTableText"/>
              <w:rPr>
                <w:b/>
              </w:rPr>
            </w:pPr>
            <w:r w:rsidRPr="008B5C7B">
              <w:rPr>
                <w:b/>
              </w:rPr>
              <w:t xml:space="preserve">Required Actions: </w:t>
            </w:r>
            <w:r w:rsidRPr="003F2192">
              <w:rPr>
                <w:highlight w:val="yellow"/>
              </w:rPr>
              <w:t xml:space="preserve">The PIHP must make its provider </w:t>
            </w:r>
            <w:proofErr w:type="gramStart"/>
            <w:r w:rsidRPr="003F2192">
              <w:rPr>
                <w:highlight w:val="yellow"/>
              </w:rPr>
              <w:t>directory is</w:t>
            </w:r>
            <w:proofErr w:type="gramEnd"/>
            <w:r w:rsidRPr="003F2192">
              <w:rPr>
                <w:highlight w:val="yellow"/>
              </w:rPr>
              <w:t xml:space="preserve"> available on the PIHP’s website in a machine-readable file and format as specified by the Secretary.</w:t>
            </w:r>
          </w:p>
        </w:tc>
      </w:tr>
      <w:tr w:rsidR="0061535D" w:rsidRPr="00D16F05" w14:paraId="2042A33B"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650F8A89" w14:textId="77777777" w:rsidR="0061535D" w:rsidRPr="00D16F05" w:rsidRDefault="0061535D" w:rsidP="0061535D">
            <w:pPr>
              <w:pStyle w:val="HSAGTableText"/>
              <w:keepNext/>
              <w:contextualSpacing/>
              <w:rPr>
                <w:b/>
              </w:rPr>
            </w:pPr>
            <w:r>
              <w:rPr>
                <w:b/>
              </w:rPr>
              <w:t>PIHP Corrective Action Plan</w:t>
            </w:r>
          </w:p>
        </w:tc>
      </w:tr>
      <w:tr w:rsidR="0061535D" w:rsidRPr="00984D92" w14:paraId="4AAE9C38"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77CD2C5" w14:textId="1DD0FB50" w:rsidR="0061535D" w:rsidRPr="00984D92" w:rsidRDefault="0061535D" w:rsidP="0061535D">
            <w:pPr>
              <w:pStyle w:val="HSAGTableText"/>
              <w:contextualSpacing/>
              <w:rPr>
                <w:bCs/>
              </w:rPr>
            </w:pPr>
            <w:r>
              <w:rPr>
                <w:b/>
              </w:rPr>
              <w:t>Root Cause Analysis:</w:t>
            </w:r>
            <w:r w:rsidRPr="003F5489">
              <w:rPr>
                <w:bCs/>
              </w:rPr>
              <w:t xml:space="preserve"> </w:t>
            </w:r>
            <w:r w:rsidR="008940C5">
              <w:rPr>
                <w:bCs/>
              </w:rPr>
              <w:t>Past understanding of this standard was that if electronic directory was searchable the requirement was satisfied.</w:t>
            </w:r>
          </w:p>
        </w:tc>
      </w:tr>
      <w:tr w:rsidR="0061535D" w:rsidRPr="00FC2C0F" w14:paraId="08388AC7"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27ABE337" w14:textId="3A6C93C2" w:rsidR="0061535D" w:rsidRPr="00FC2C0F" w:rsidRDefault="0061535D" w:rsidP="0061535D">
            <w:pPr>
              <w:pStyle w:val="HSAGTableText"/>
              <w:contextualSpacing/>
              <w:rPr>
                <w:bCs/>
              </w:rPr>
            </w:pPr>
            <w:r>
              <w:rPr>
                <w:b/>
              </w:rPr>
              <w:t>PIHP Remediation Plan</w:t>
            </w:r>
            <w:r w:rsidRPr="00B30934">
              <w:rPr>
                <w:b/>
              </w:rPr>
              <w:t>:</w:t>
            </w:r>
            <w:r>
              <w:rPr>
                <w:bCs/>
              </w:rPr>
              <w:t xml:space="preserve"> Versions of the PIHP provider directory will be made available in a machine-readable file and format on the NMRE</w:t>
            </w:r>
            <w:r w:rsidR="00C8682B">
              <w:rPr>
                <w:bCs/>
              </w:rPr>
              <w:t xml:space="preserve"> and CMH</w:t>
            </w:r>
            <w:r w:rsidR="00B40E60">
              <w:rPr>
                <w:bCs/>
              </w:rPr>
              <w:t>SP</w:t>
            </w:r>
            <w:r w:rsidR="00C8682B">
              <w:rPr>
                <w:bCs/>
              </w:rPr>
              <w:t xml:space="preserve"> websites.</w:t>
            </w:r>
          </w:p>
        </w:tc>
      </w:tr>
      <w:tr w:rsidR="0061535D" w:rsidRPr="00FC2C0F" w14:paraId="718163A8"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7C30A6F1" w14:textId="638E1B38" w:rsidR="0061535D" w:rsidRPr="00FC2C0F" w:rsidRDefault="0061535D" w:rsidP="0061535D">
            <w:pPr>
              <w:pStyle w:val="HSAGTableText"/>
              <w:contextualSpacing/>
              <w:rPr>
                <w:bCs/>
              </w:rPr>
            </w:pPr>
            <w:r w:rsidRPr="00B30934">
              <w:rPr>
                <w:b/>
              </w:rPr>
              <w:t>Responsible Individual(s):</w:t>
            </w:r>
            <w:r>
              <w:rPr>
                <w:bCs/>
              </w:rPr>
              <w:t xml:space="preserve"> Chris VanWagoner, Provider Network Manager</w:t>
            </w:r>
          </w:p>
        </w:tc>
      </w:tr>
      <w:tr w:rsidR="0061535D" w:rsidRPr="00FC2C0F" w14:paraId="254CD82A"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0BD92AD5" w14:textId="1DE0C145" w:rsidR="0061535D" w:rsidRPr="00FC2C0F" w:rsidRDefault="0061535D" w:rsidP="0061535D">
            <w:pPr>
              <w:pStyle w:val="HSAGTableText"/>
              <w:contextualSpacing/>
              <w:rPr>
                <w:bCs/>
              </w:rPr>
            </w:pPr>
            <w:r w:rsidRPr="00B30934">
              <w:rPr>
                <w:b/>
              </w:rPr>
              <w:t>Timeline:</w:t>
            </w:r>
            <w:r>
              <w:rPr>
                <w:bCs/>
              </w:rPr>
              <w:t xml:space="preserve"> </w:t>
            </w:r>
            <w:r w:rsidR="00C8682B">
              <w:rPr>
                <w:bCs/>
              </w:rPr>
              <w:t>To commence immediately with completion date of 6/1/2025</w:t>
            </w:r>
          </w:p>
        </w:tc>
      </w:tr>
      <w:tr w:rsidR="0061535D" w14:paraId="7C2CA29A" w14:textId="77777777" w:rsidTr="00AD1772">
        <w:tblPrEx>
          <w:tblCellMar>
            <w:left w:w="108" w:type="dxa"/>
            <w:right w:w="108" w:type="dxa"/>
          </w:tblCellMar>
        </w:tblPrEx>
        <w:trPr>
          <w:gridBefore w:val="1"/>
          <w:wBefore w:w="7" w:type="dxa"/>
          <w:trHeight w:val="374"/>
          <w:jc w:val="center"/>
        </w:trPr>
        <w:tc>
          <w:tcPr>
            <w:tcW w:w="10425" w:type="dxa"/>
            <w:gridSpan w:val="2"/>
            <w:tcBorders>
              <w:top w:val="single" w:sz="4" w:space="0" w:color="auto"/>
              <w:bottom w:val="single" w:sz="4" w:space="0" w:color="auto"/>
            </w:tcBorders>
            <w:shd w:val="clear" w:color="auto" w:fill="F2F2F2" w:themeFill="background1" w:themeFillShade="F2"/>
          </w:tcPr>
          <w:p w14:paraId="100D923C" w14:textId="77777777" w:rsidR="0061535D" w:rsidRPr="00FC2C0F" w:rsidRDefault="0061535D" w:rsidP="0061535D">
            <w:pPr>
              <w:pStyle w:val="HSAGTableText"/>
              <w:keepNext/>
              <w:contextualSpacing/>
              <w:rPr>
                <w:bCs/>
              </w:rPr>
            </w:pPr>
            <w:r>
              <w:rPr>
                <w:b/>
              </w:rPr>
              <w:t>MDHHS/HSAG Response:</w:t>
            </w:r>
            <w:r>
              <w:rPr>
                <w:bCs/>
              </w:rPr>
              <w:t xml:space="preserve"> </w:t>
            </w:r>
          </w:p>
        </w:tc>
        <w:tc>
          <w:tcPr>
            <w:tcW w:w="3579" w:type="dxa"/>
            <w:gridSpan w:val="2"/>
            <w:tcBorders>
              <w:top w:val="single" w:sz="4" w:space="0" w:color="auto"/>
              <w:bottom w:val="single" w:sz="4" w:space="0" w:color="auto"/>
            </w:tcBorders>
            <w:shd w:val="clear" w:color="auto" w:fill="F2F2F2" w:themeFill="background1" w:themeFillShade="F2"/>
          </w:tcPr>
          <w:p w14:paraId="73AFCC81" w14:textId="77777777" w:rsidR="0061535D" w:rsidRPr="00C123EE" w:rsidRDefault="00000000" w:rsidP="0061535D">
            <w:pPr>
              <w:pStyle w:val="HSAGTableText"/>
              <w:contextualSpacing/>
              <w:rPr>
                <w:bCs/>
              </w:rPr>
            </w:pPr>
            <w:sdt>
              <w:sdtPr>
                <w:rPr>
                  <w:bCs/>
                </w:rPr>
                <w:id w:val="2054037624"/>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Accepted</w:t>
            </w:r>
          </w:p>
          <w:p w14:paraId="3A45605B" w14:textId="2DB49484" w:rsidR="0061535D" w:rsidRPr="00C123EE" w:rsidRDefault="00000000" w:rsidP="0061535D">
            <w:pPr>
              <w:pStyle w:val="HSAGTableText"/>
              <w:contextualSpacing/>
              <w:rPr>
                <w:bCs/>
              </w:rPr>
            </w:pPr>
            <w:sdt>
              <w:sdtPr>
                <w:rPr>
                  <w:bCs/>
                </w:rPr>
                <w:id w:val="-52472032"/>
                <w14:checkbox>
                  <w14:checked w14:val="0"/>
                  <w14:checkedState w14:val="2612" w14:font="MS Gothic"/>
                  <w14:uncheckedState w14:val="2610" w14:font="MS Gothic"/>
                </w14:checkbox>
              </w:sdtPr>
              <w:sdtContent>
                <w:r w:rsidR="0061535D">
                  <w:rPr>
                    <w:rFonts w:ascii="MS Gothic" w:eastAsia="MS Gothic" w:hAnsi="MS Gothic" w:hint="eastAsia"/>
                    <w:bCs/>
                  </w:rPr>
                  <w:t>☐</w:t>
                </w:r>
              </w:sdtContent>
            </w:sdt>
            <w:r w:rsidR="0061535D" w:rsidRPr="00C123EE">
              <w:rPr>
                <w:bCs/>
              </w:rPr>
              <w:t xml:space="preserve"> Accepted </w:t>
            </w:r>
            <w:r w:rsidR="0061535D">
              <w:rPr>
                <w:bCs/>
              </w:rPr>
              <w:t>W</w:t>
            </w:r>
            <w:r w:rsidR="0061535D" w:rsidRPr="00C123EE">
              <w:rPr>
                <w:bCs/>
              </w:rPr>
              <w:t>ith Recommendations</w:t>
            </w:r>
          </w:p>
          <w:p w14:paraId="128E67B1" w14:textId="77777777" w:rsidR="0061535D" w:rsidRDefault="00000000" w:rsidP="0061535D">
            <w:pPr>
              <w:pStyle w:val="HSAGTableText"/>
              <w:contextualSpacing/>
              <w:rPr>
                <w:b/>
              </w:rPr>
            </w:pPr>
            <w:sdt>
              <w:sdtPr>
                <w:rPr>
                  <w:bCs/>
                </w:rPr>
                <w:id w:val="-1402129066"/>
                <w14:checkbox>
                  <w14:checked w14:val="0"/>
                  <w14:checkedState w14:val="2612" w14:font="MS Gothic"/>
                  <w14:uncheckedState w14:val="2610" w14:font="MS Gothic"/>
                </w14:checkbox>
              </w:sdtPr>
              <w:sdtContent>
                <w:r w:rsidR="0061535D" w:rsidRPr="00C123EE">
                  <w:rPr>
                    <w:rFonts w:ascii="MS Gothic" w:eastAsia="MS Gothic" w:hAnsi="MS Gothic" w:hint="eastAsia"/>
                    <w:bCs/>
                  </w:rPr>
                  <w:t>☐</w:t>
                </w:r>
              </w:sdtContent>
            </w:sdt>
            <w:r w:rsidR="0061535D" w:rsidRPr="00C123EE">
              <w:rPr>
                <w:bCs/>
              </w:rPr>
              <w:t xml:space="preserve"> Not Accepted</w:t>
            </w:r>
          </w:p>
        </w:tc>
      </w:tr>
    </w:tbl>
    <w:p w14:paraId="5766DBB7" w14:textId="77777777" w:rsidR="00AD1772" w:rsidRPr="0065503C" w:rsidRDefault="00AD1772" w:rsidP="00AD1772"/>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3960"/>
        <w:gridCol w:w="2160"/>
        <w:gridCol w:w="1416"/>
      </w:tblGrid>
      <w:tr w:rsidR="00AD1772" w:rsidRPr="00903F99" w14:paraId="7B8C70C4" w14:textId="77777777" w:rsidTr="00171D87">
        <w:trPr>
          <w:trHeight w:val="374"/>
          <w:tblHeader/>
          <w:jc w:val="center"/>
        </w:trPr>
        <w:tc>
          <w:tcPr>
            <w:tcW w:w="14011" w:type="dxa"/>
            <w:gridSpan w:val="4"/>
            <w:shd w:val="clear" w:color="auto" w:fill="00549E"/>
            <w:vAlign w:val="center"/>
            <w:hideMark/>
          </w:tcPr>
          <w:p w14:paraId="61AB1689" w14:textId="0BB7B28F" w:rsidR="00AD1772" w:rsidRPr="00903F99" w:rsidRDefault="00AD1772" w:rsidP="00AD1772">
            <w:pPr>
              <w:pStyle w:val="HSAGTableHeading"/>
              <w:pageBreakBefore/>
              <w:spacing w:before="0" w:after="0"/>
              <w:contextualSpacing/>
            </w:pPr>
            <w:r>
              <w:lastRenderedPageBreak/>
              <w:t>Standard V—Coordination and Continuity of Care</w:t>
            </w:r>
          </w:p>
        </w:tc>
      </w:tr>
      <w:tr w:rsidR="00AD1772" w:rsidRPr="0026679F" w14:paraId="360D3273" w14:textId="77777777" w:rsidTr="00171D87">
        <w:trPr>
          <w:trHeight w:val="374"/>
          <w:tblHeader/>
          <w:jc w:val="center"/>
        </w:trPr>
        <w:tc>
          <w:tcPr>
            <w:tcW w:w="6475" w:type="dxa"/>
            <w:shd w:val="clear" w:color="auto" w:fill="DFECF7"/>
            <w:vAlign w:val="center"/>
            <w:hideMark/>
          </w:tcPr>
          <w:p w14:paraId="55CEF7BA" w14:textId="77777777" w:rsidR="00AD1772" w:rsidRPr="0026679F" w:rsidRDefault="00AD1772" w:rsidP="00171D87">
            <w:pPr>
              <w:pStyle w:val="HSAGTableHeading"/>
              <w:rPr>
                <w:color w:val="auto"/>
              </w:rPr>
            </w:pPr>
            <w:r w:rsidRPr="0026679F">
              <w:rPr>
                <w:color w:val="auto"/>
              </w:rPr>
              <w:t>Requirement</w:t>
            </w:r>
          </w:p>
        </w:tc>
        <w:tc>
          <w:tcPr>
            <w:tcW w:w="6120" w:type="dxa"/>
            <w:gridSpan w:val="2"/>
            <w:shd w:val="clear" w:color="auto" w:fill="DFECF7"/>
            <w:vAlign w:val="center"/>
            <w:hideMark/>
          </w:tcPr>
          <w:p w14:paraId="00028366" w14:textId="77777777" w:rsidR="00AD1772" w:rsidRPr="0026679F" w:rsidRDefault="00AD1772" w:rsidP="00171D87">
            <w:pPr>
              <w:pStyle w:val="HSAGTableHeading"/>
              <w:rPr>
                <w:color w:val="auto"/>
              </w:rPr>
            </w:pPr>
            <w:r w:rsidRPr="0026679F">
              <w:rPr>
                <w:color w:val="auto"/>
              </w:rPr>
              <w:t>Supporting Documentation</w:t>
            </w:r>
          </w:p>
        </w:tc>
        <w:tc>
          <w:tcPr>
            <w:tcW w:w="1416" w:type="dxa"/>
            <w:shd w:val="clear" w:color="auto" w:fill="DFECF7"/>
            <w:vAlign w:val="center"/>
            <w:hideMark/>
          </w:tcPr>
          <w:p w14:paraId="7B7797F3" w14:textId="77777777" w:rsidR="00AD1772" w:rsidRPr="0026679F" w:rsidRDefault="00AD1772" w:rsidP="00171D87">
            <w:pPr>
              <w:pStyle w:val="HSAGTableHeading"/>
              <w:rPr>
                <w:color w:val="auto"/>
              </w:rPr>
            </w:pPr>
            <w:r w:rsidRPr="0026679F">
              <w:rPr>
                <w:color w:val="auto"/>
              </w:rPr>
              <w:t>Score</w:t>
            </w:r>
          </w:p>
        </w:tc>
      </w:tr>
      <w:tr w:rsidR="00AD1772" w:rsidRPr="00903F99" w14:paraId="5B8ECAE7" w14:textId="77777777" w:rsidTr="00171D87">
        <w:trPr>
          <w:trHeight w:val="374"/>
          <w:jc w:val="center"/>
        </w:trPr>
        <w:tc>
          <w:tcPr>
            <w:tcW w:w="6475" w:type="dxa"/>
            <w:vMerge w:val="restart"/>
          </w:tcPr>
          <w:p w14:paraId="52EF483F" w14:textId="77777777" w:rsidR="00AD1772" w:rsidRPr="008B5C7B" w:rsidRDefault="00AD1772" w:rsidP="00AD1772">
            <w:pPr>
              <w:pStyle w:val="ListNoNum"/>
              <w:rPr>
                <w:i/>
              </w:rPr>
            </w:pPr>
            <w:r w:rsidRPr="008B5C7B">
              <w:rPr>
                <w:spacing w:val="-4"/>
              </w:rPr>
              <w:t>16.</w:t>
            </w:r>
            <w:r w:rsidRPr="008B5C7B">
              <w:rPr>
                <w:spacing w:val="-4"/>
              </w:rPr>
              <w:tab/>
            </w:r>
            <w:r w:rsidRPr="008B5C7B">
              <w:rPr>
                <w:i/>
              </w:rPr>
              <w:t xml:space="preserve">In accordance with 42 CFR Part 2, the PIHP takes all appropriate steps to assure that substance use disorder treatment services are coordinated with primary health care. </w:t>
            </w:r>
          </w:p>
          <w:p w14:paraId="40B36F21" w14:textId="77777777" w:rsidR="00AD1772" w:rsidRPr="008B5C7B" w:rsidRDefault="00AD1772" w:rsidP="00AD1772">
            <w:pPr>
              <w:pStyle w:val="ListNoNum2"/>
              <w:rPr>
                <w:i/>
              </w:rPr>
            </w:pPr>
            <w:r w:rsidRPr="008B5C7B">
              <w:t xml:space="preserve">a. </w:t>
            </w:r>
            <w:r w:rsidRPr="008B5C7B">
              <w:tab/>
            </w:r>
            <w:r w:rsidRPr="008B5C7B">
              <w:rPr>
                <w:i/>
              </w:rPr>
              <w:t>Care coordinating agreements or joint referral agreements, by themselves, are not sufficient to show that the PIHP has taken all appropriate steps related to coordination of care.</w:t>
            </w:r>
          </w:p>
          <w:p w14:paraId="3EBB2173" w14:textId="77777777" w:rsidR="00AD1772" w:rsidRPr="008B5C7B" w:rsidRDefault="00AD1772" w:rsidP="00AD1772">
            <w:pPr>
              <w:pStyle w:val="ListNoNum2"/>
              <w:rPr>
                <w:i/>
              </w:rPr>
            </w:pPr>
            <w:r w:rsidRPr="008B5C7B">
              <w:t xml:space="preserve">b. </w:t>
            </w:r>
            <w:r w:rsidRPr="008B5C7B">
              <w:tab/>
            </w:r>
            <w:r w:rsidRPr="008B5C7B">
              <w:rPr>
                <w:i/>
              </w:rPr>
              <w:t>Member treatment case file documentation is also necessary.</w:t>
            </w:r>
          </w:p>
          <w:p w14:paraId="2BFF182A" w14:textId="77777777" w:rsidR="00AD1772" w:rsidRPr="008B5C7B" w:rsidRDefault="00AD1772" w:rsidP="00AD1772">
            <w:pPr>
              <w:pStyle w:val="ListNoNum2"/>
              <w:rPr>
                <w:i/>
              </w:rPr>
            </w:pPr>
            <w:r w:rsidRPr="008B5C7B">
              <w:t xml:space="preserve">c. </w:t>
            </w:r>
            <w:r w:rsidRPr="008B5C7B">
              <w:tab/>
            </w:r>
            <w:r w:rsidRPr="008B5C7B">
              <w:rPr>
                <w:i/>
              </w:rPr>
              <w:t>Member treatment case files must include, at minimum:</w:t>
            </w:r>
          </w:p>
          <w:p w14:paraId="744EBF7F" w14:textId="77777777" w:rsidR="00AD1772" w:rsidRPr="008B5C7B" w:rsidRDefault="00AD1772" w:rsidP="00AD1772">
            <w:pPr>
              <w:pStyle w:val="ListNoNum3"/>
              <w:rPr>
                <w:i/>
              </w:rPr>
            </w:pPr>
            <w:proofErr w:type="spellStart"/>
            <w:r w:rsidRPr="008B5C7B">
              <w:t>i</w:t>
            </w:r>
            <w:proofErr w:type="spellEnd"/>
            <w:r w:rsidRPr="008B5C7B">
              <w:t>.</w:t>
            </w:r>
            <w:r w:rsidRPr="008B5C7B">
              <w:rPr>
                <w:i/>
              </w:rPr>
              <w:tab/>
              <w:t xml:space="preserve">The PCP’s name and address; </w:t>
            </w:r>
          </w:p>
          <w:p w14:paraId="0C156CD7" w14:textId="77777777" w:rsidR="00AD1772" w:rsidRPr="008B5C7B" w:rsidRDefault="00AD1772" w:rsidP="00AD1772">
            <w:pPr>
              <w:pStyle w:val="ListNoNum3"/>
              <w:rPr>
                <w:iCs/>
                <w:sz w:val="18"/>
                <w:szCs w:val="18"/>
              </w:rPr>
            </w:pPr>
            <w:r w:rsidRPr="008B5C7B">
              <w:t>ii.</w:t>
            </w:r>
            <w:r w:rsidRPr="008B5C7B">
              <w:rPr>
                <w:i/>
              </w:rPr>
              <w:tab/>
              <w:t>A signed release of information for purposes of coordination; or</w:t>
            </w:r>
          </w:p>
          <w:p w14:paraId="2CFD37C4" w14:textId="77777777" w:rsidR="00AD1772" w:rsidRPr="008B5C7B" w:rsidRDefault="00AD1772" w:rsidP="00AD1772">
            <w:pPr>
              <w:pStyle w:val="ListNoNum3"/>
              <w:rPr>
                <w:iCs/>
                <w:sz w:val="18"/>
                <w:szCs w:val="18"/>
              </w:rPr>
            </w:pPr>
            <w:r w:rsidRPr="008B5C7B">
              <w:t>iii.</w:t>
            </w:r>
            <w:r w:rsidRPr="008B5C7B">
              <w:rPr>
                <w:i/>
              </w:rPr>
              <w:tab/>
              <w:t>A statement that the member has refused to sign a release.</w:t>
            </w:r>
          </w:p>
          <w:p w14:paraId="095134DF" w14:textId="77777777" w:rsidR="00AD1772" w:rsidRPr="008B5C7B" w:rsidRDefault="00AD1772" w:rsidP="00AD1772">
            <w:pPr>
              <w:pStyle w:val="ListNoNum2"/>
              <w:rPr>
                <w:iCs/>
                <w:sz w:val="18"/>
                <w:szCs w:val="18"/>
              </w:rPr>
            </w:pPr>
            <w:r w:rsidRPr="008B5C7B">
              <w:rPr>
                <w:iCs/>
              </w:rPr>
              <w:t>d.</w:t>
            </w:r>
            <w:r w:rsidRPr="008B5C7B">
              <w:rPr>
                <w:i/>
              </w:rPr>
              <w:t xml:space="preserve"> </w:t>
            </w:r>
            <w:r w:rsidRPr="008B5C7B">
              <w:rPr>
                <w:i/>
              </w:rPr>
              <w:tab/>
              <w:t xml:space="preserve">The PIHP must coordinate the services furnished to the member with the services the member receives with FFS Medicaid. </w:t>
            </w:r>
          </w:p>
          <w:p w14:paraId="0B65FA40" w14:textId="77777777" w:rsidR="00AD1772" w:rsidRPr="008B5C7B" w:rsidRDefault="00AD1772" w:rsidP="00AD1772">
            <w:pPr>
              <w:pStyle w:val="HSAGNumbers"/>
              <w:numPr>
                <w:ilvl w:val="0"/>
                <w:numId w:val="0"/>
              </w:numPr>
              <w:ind w:left="360"/>
              <w:contextualSpacing/>
              <w:jc w:val="right"/>
              <w:rPr>
                <w:iCs/>
                <w:sz w:val="18"/>
                <w:szCs w:val="18"/>
              </w:rPr>
            </w:pPr>
          </w:p>
          <w:p w14:paraId="33554011" w14:textId="623E154E" w:rsidR="00AD1772" w:rsidRPr="00A732BB" w:rsidRDefault="00AD1772" w:rsidP="00AD1772">
            <w:pPr>
              <w:pStyle w:val="HSAGTableContracttext"/>
              <w:keepNext/>
              <w:spacing w:before="0" w:after="0"/>
              <w:ind w:left="1440"/>
              <w:contextualSpacing/>
              <w:rPr>
                <w:i w:val="0"/>
                <w:szCs w:val="18"/>
              </w:rPr>
            </w:pPr>
            <w:r w:rsidRPr="00A732BB">
              <w:rPr>
                <w:i w:val="0"/>
                <w:sz w:val="18"/>
                <w:szCs w:val="18"/>
              </w:rPr>
              <w:t>Contract Schedule A–1(H)(3)(a-b)</w:t>
            </w:r>
          </w:p>
        </w:tc>
        <w:tc>
          <w:tcPr>
            <w:tcW w:w="6120" w:type="dxa"/>
            <w:gridSpan w:val="2"/>
            <w:shd w:val="clear" w:color="auto" w:fill="FFFFFF" w:themeFill="background1"/>
          </w:tcPr>
          <w:p w14:paraId="02C44A0D" w14:textId="77777777" w:rsidR="00AD1772" w:rsidRPr="008B5C7B" w:rsidRDefault="00AD1772" w:rsidP="00AD1772">
            <w:pPr>
              <w:pStyle w:val="HSAGTableText"/>
              <w:contextualSpacing/>
              <w:rPr>
                <w:b/>
                <w:bCs/>
              </w:rPr>
            </w:pPr>
            <w:r w:rsidRPr="008B5C7B">
              <w:rPr>
                <w:b/>
                <w:bCs/>
              </w:rPr>
              <w:t>HSAG Required Evidence:</w:t>
            </w:r>
          </w:p>
          <w:p w14:paraId="3F5979BD" w14:textId="77777777" w:rsidR="00AD1772" w:rsidRPr="008B5C7B" w:rsidRDefault="00AD1772" w:rsidP="00AD1772">
            <w:pPr>
              <w:pStyle w:val="HSAGTableText"/>
              <w:numPr>
                <w:ilvl w:val="0"/>
                <w:numId w:val="24"/>
              </w:numPr>
              <w:contextualSpacing/>
            </w:pPr>
            <w:r w:rsidRPr="008B5C7B">
              <w:t>Policies and procedures</w:t>
            </w:r>
          </w:p>
          <w:p w14:paraId="66A01729" w14:textId="77777777" w:rsidR="00AD1772" w:rsidRPr="008B5C7B" w:rsidRDefault="00AD1772" w:rsidP="00AD1772">
            <w:pPr>
              <w:pStyle w:val="HSAGTableText"/>
              <w:numPr>
                <w:ilvl w:val="0"/>
                <w:numId w:val="24"/>
              </w:numPr>
              <w:contextualSpacing/>
            </w:pPr>
            <w:proofErr w:type="gramStart"/>
            <w:r w:rsidRPr="008B5C7B">
              <w:t>Care</w:t>
            </w:r>
            <w:proofErr w:type="gramEnd"/>
            <w:r w:rsidRPr="008B5C7B">
              <w:t xml:space="preserve"> management program description</w:t>
            </w:r>
          </w:p>
          <w:p w14:paraId="64CD78A2" w14:textId="77777777" w:rsidR="00AD1772" w:rsidRDefault="00AD1772" w:rsidP="00AD1772">
            <w:pPr>
              <w:pStyle w:val="HSAGTableText"/>
              <w:numPr>
                <w:ilvl w:val="0"/>
                <w:numId w:val="24"/>
              </w:numPr>
              <w:contextualSpacing/>
            </w:pPr>
            <w:r w:rsidRPr="008B5C7B">
              <w:t>Algorithm to identify members eligible for Medicaid Specialty Mental Health Services and Supports</w:t>
            </w:r>
          </w:p>
          <w:p w14:paraId="6887A14B" w14:textId="39B16070" w:rsidR="00AD1772" w:rsidRPr="00903F99" w:rsidRDefault="00AD1772" w:rsidP="00AD1772">
            <w:pPr>
              <w:pStyle w:val="HSAGTableText"/>
              <w:numPr>
                <w:ilvl w:val="0"/>
                <w:numId w:val="24"/>
              </w:numPr>
              <w:contextualSpacing/>
            </w:pPr>
            <w:r w:rsidRPr="008B5C7B">
              <w:t>Three case examples of completed physical health assessments, coordinated through the MHP, within a member’s health record (each example must pertain to a different Community Mental Health Services Program [CMHSP]/provider)</w:t>
            </w:r>
          </w:p>
        </w:tc>
        <w:tc>
          <w:tcPr>
            <w:tcW w:w="1416" w:type="dxa"/>
            <w:vMerge w:val="restart"/>
            <w:shd w:val="clear" w:color="auto" w:fill="FFFFFF" w:themeFill="background1"/>
          </w:tcPr>
          <w:p w14:paraId="0547A38E" w14:textId="77777777" w:rsidR="00AD1772" w:rsidRPr="008B5C7B" w:rsidRDefault="00000000" w:rsidP="00AD1772">
            <w:pPr>
              <w:spacing w:before="60" w:after="0"/>
              <w:contextualSpacing/>
              <w:rPr>
                <w:sz w:val="22"/>
              </w:rPr>
            </w:pPr>
            <w:sdt>
              <w:sdtPr>
                <w:rPr>
                  <w:sz w:val="22"/>
                </w:rPr>
                <w:id w:val="1915812441"/>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Met</w:t>
            </w:r>
          </w:p>
          <w:p w14:paraId="285A3D87" w14:textId="77777777" w:rsidR="00AD1772" w:rsidRPr="008B5C7B" w:rsidRDefault="00000000" w:rsidP="00AD1772">
            <w:pPr>
              <w:spacing w:before="60" w:after="0"/>
              <w:contextualSpacing/>
              <w:rPr>
                <w:sz w:val="22"/>
              </w:rPr>
            </w:pPr>
            <w:sdt>
              <w:sdtPr>
                <w:rPr>
                  <w:sz w:val="22"/>
                </w:rPr>
                <w:id w:val="-1495716074"/>
                <w14:checkbox>
                  <w14:checked w14:val="1"/>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Not Met</w:t>
            </w:r>
          </w:p>
          <w:p w14:paraId="28F72DB3" w14:textId="77777777" w:rsidR="00AD1772" w:rsidRPr="008B5C7B" w:rsidRDefault="00000000" w:rsidP="00AD1772">
            <w:pPr>
              <w:spacing w:before="60" w:after="0"/>
              <w:contextualSpacing/>
              <w:rPr>
                <w:sz w:val="22"/>
              </w:rPr>
            </w:pPr>
            <w:sdt>
              <w:sdtPr>
                <w:rPr>
                  <w:sz w:val="22"/>
                </w:rPr>
                <w:id w:val="-1305772868"/>
                <w14:checkbox>
                  <w14:checked w14:val="0"/>
                  <w14:checkedState w14:val="2612" w14:font="MS Gothic"/>
                  <w14:uncheckedState w14:val="2610" w14:font="MS Gothic"/>
                </w14:checkbox>
              </w:sdtPr>
              <w:sdtContent>
                <w:r w:rsidR="00AD1772" w:rsidRPr="008B5C7B">
                  <w:rPr>
                    <w:rFonts w:ascii="MS Gothic" w:eastAsia="MS Gothic" w:hAnsi="MS Gothic"/>
                    <w:sz w:val="22"/>
                  </w:rPr>
                  <w:t>☐</w:t>
                </w:r>
              </w:sdtContent>
            </w:sdt>
            <w:r w:rsidR="00AD1772" w:rsidRPr="008B5C7B">
              <w:rPr>
                <w:sz w:val="22"/>
              </w:rPr>
              <w:t xml:space="preserve"> NA</w:t>
            </w:r>
          </w:p>
          <w:p w14:paraId="3643A146" w14:textId="77777777" w:rsidR="00AD1772" w:rsidRPr="00903F99" w:rsidRDefault="00AD1772" w:rsidP="00AD1772">
            <w:pPr>
              <w:spacing w:before="0" w:after="0"/>
              <w:contextualSpacing/>
              <w:rPr>
                <w:sz w:val="22"/>
              </w:rPr>
            </w:pPr>
          </w:p>
        </w:tc>
      </w:tr>
      <w:tr w:rsidR="00AD1772" w:rsidRPr="00903F99" w14:paraId="3DEE34E8" w14:textId="77777777" w:rsidTr="00171D87">
        <w:trPr>
          <w:trHeight w:val="374"/>
          <w:jc w:val="center"/>
        </w:trPr>
        <w:tc>
          <w:tcPr>
            <w:tcW w:w="6475" w:type="dxa"/>
            <w:vMerge/>
          </w:tcPr>
          <w:p w14:paraId="100ADCE8" w14:textId="77777777" w:rsidR="00AD1772" w:rsidRPr="00903F99" w:rsidRDefault="00AD1772" w:rsidP="00AD1772">
            <w:pPr>
              <w:pStyle w:val="HSAGNumbers"/>
              <w:numPr>
                <w:ilvl w:val="0"/>
                <w:numId w:val="17"/>
              </w:numPr>
              <w:spacing w:before="0" w:after="0"/>
              <w:contextualSpacing/>
            </w:pPr>
          </w:p>
        </w:tc>
        <w:tc>
          <w:tcPr>
            <w:tcW w:w="6120" w:type="dxa"/>
            <w:gridSpan w:val="2"/>
            <w:shd w:val="clear" w:color="auto" w:fill="FFFFFF" w:themeFill="background1"/>
          </w:tcPr>
          <w:p w14:paraId="2DA0F4B6" w14:textId="77777777" w:rsidR="00AD1772" w:rsidRPr="008B5C7B" w:rsidRDefault="00AD1772" w:rsidP="00AD1772">
            <w:pPr>
              <w:pStyle w:val="HSAGTableText"/>
              <w:contextualSpacing/>
              <w:rPr>
                <w:b/>
                <w:bCs/>
              </w:rPr>
            </w:pPr>
            <w:r w:rsidRPr="008B5C7B">
              <w:rPr>
                <w:b/>
                <w:bCs/>
              </w:rPr>
              <w:t>Evidence as Submitted by the PIHP:</w:t>
            </w:r>
          </w:p>
          <w:p w14:paraId="12D8A4F0" w14:textId="77777777" w:rsidR="00AD1772" w:rsidRPr="008B5C7B" w:rsidRDefault="00AD1772" w:rsidP="00AD1772">
            <w:pPr>
              <w:pStyle w:val="HSAGTableText"/>
              <w:numPr>
                <w:ilvl w:val="0"/>
                <w:numId w:val="32"/>
              </w:numPr>
              <w:contextualSpacing/>
            </w:pPr>
            <w:r w:rsidRPr="008B5C7B">
              <w:t xml:space="preserve">SV_E16 </w:t>
            </w:r>
            <w:proofErr w:type="spellStart"/>
            <w:r w:rsidRPr="008B5C7B">
              <w:t>NMRE_AHH_Handbook</w:t>
            </w:r>
            <w:proofErr w:type="spellEnd"/>
          </w:p>
          <w:p w14:paraId="1C3C5538" w14:textId="77777777" w:rsidR="00AD1772" w:rsidRPr="008B5C7B" w:rsidRDefault="00AD1772" w:rsidP="00AD1772">
            <w:pPr>
              <w:pStyle w:val="HSAGTableText"/>
              <w:numPr>
                <w:ilvl w:val="0"/>
                <w:numId w:val="32"/>
              </w:numPr>
              <w:contextualSpacing/>
            </w:pPr>
            <w:r w:rsidRPr="008B5C7B">
              <w:t>SV_E16 OHH Release of Information MDHHS 5515 find for PCP</w:t>
            </w:r>
          </w:p>
          <w:p w14:paraId="519E0A80" w14:textId="77777777" w:rsidR="00AD1772" w:rsidRPr="008B5C7B" w:rsidRDefault="00AD1772" w:rsidP="00AD1772">
            <w:pPr>
              <w:pStyle w:val="HSAGTableText"/>
              <w:numPr>
                <w:ilvl w:val="0"/>
                <w:numId w:val="32"/>
              </w:numPr>
              <w:contextualSpacing/>
            </w:pPr>
            <w:r w:rsidRPr="008B5C7B">
              <w:t>SV_E16_NMRE Complex Care Manager JD</w:t>
            </w:r>
          </w:p>
          <w:p w14:paraId="3705C371" w14:textId="77777777" w:rsidR="00AD1772" w:rsidRPr="008B5C7B" w:rsidRDefault="00AD1772" w:rsidP="00AD1772">
            <w:pPr>
              <w:pStyle w:val="HSAGTableText"/>
              <w:numPr>
                <w:ilvl w:val="0"/>
                <w:numId w:val="32"/>
              </w:numPr>
              <w:contextualSpacing/>
            </w:pPr>
            <w:r w:rsidRPr="008B5C7B">
              <w:t>SV_E16_Consent to Share Information_page2</w:t>
            </w:r>
          </w:p>
          <w:p w14:paraId="732791F3" w14:textId="77777777" w:rsidR="00AD1772" w:rsidRPr="008B5C7B" w:rsidRDefault="00AD1772" w:rsidP="00AD1772">
            <w:pPr>
              <w:pStyle w:val="HSAGTableText"/>
              <w:numPr>
                <w:ilvl w:val="0"/>
                <w:numId w:val="32"/>
              </w:numPr>
              <w:contextualSpacing/>
            </w:pPr>
            <w:r w:rsidRPr="008B5C7B">
              <w:t>SV_E16_Consumer Chart Tool NMSAS</w:t>
            </w:r>
          </w:p>
          <w:p w14:paraId="5017178E" w14:textId="77777777" w:rsidR="00AD1772" w:rsidRPr="008B5C7B" w:rsidRDefault="00AD1772" w:rsidP="00AD1772">
            <w:pPr>
              <w:pStyle w:val="HSAGTableText"/>
              <w:numPr>
                <w:ilvl w:val="0"/>
                <w:numId w:val="32"/>
              </w:numPr>
              <w:contextualSpacing/>
            </w:pPr>
            <w:r w:rsidRPr="008B5C7B">
              <w:t>SV_E16_Example 1_NMSAS</w:t>
            </w:r>
          </w:p>
          <w:p w14:paraId="20EF7B3A" w14:textId="77777777" w:rsidR="00AD1772" w:rsidRPr="008B5C7B" w:rsidRDefault="00AD1772" w:rsidP="00AD1772">
            <w:pPr>
              <w:pStyle w:val="HSAGTableText"/>
              <w:numPr>
                <w:ilvl w:val="0"/>
                <w:numId w:val="32"/>
              </w:numPr>
              <w:contextualSpacing/>
            </w:pPr>
            <w:r w:rsidRPr="008B5C7B">
              <w:t>SV_E16_Example 2_ATS Care Coordination Documents</w:t>
            </w:r>
          </w:p>
          <w:p w14:paraId="1E573557" w14:textId="77777777" w:rsidR="00AD1772" w:rsidRPr="008B5C7B" w:rsidRDefault="00AD1772" w:rsidP="00AD1772">
            <w:pPr>
              <w:pStyle w:val="HSAGTableText"/>
              <w:numPr>
                <w:ilvl w:val="0"/>
                <w:numId w:val="32"/>
              </w:numPr>
              <w:contextualSpacing/>
            </w:pPr>
            <w:r w:rsidRPr="008B5C7B">
              <w:t>SV_E16_Example 3_CHS PCP consent and letter</w:t>
            </w:r>
          </w:p>
          <w:p w14:paraId="12A61935" w14:textId="77777777" w:rsidR="00AD1772" w:rsidRPr="008B5C7B" w:rsidRDefault="00AD1772" w:rsidP="00AD1772">
            <w:pPr>
              <w:pStyle w:val="HSAGTableText"/>
              <w:numPr>
                <w:ilvl w:val="0"/>
                <w:numId w:val="32"/>
              </w:numPr>
              <w:contextualSpacing/>
            </w:pPr>
            <w:r w:rsidRPr="008B5C7B">
              <w:t>SV_E16_FINAL CHS_FY2023 Site Review Findings</w:t>
            </w:r>
          </w:p>
          <w:p w14:paraId="0921CE7D" w14:textId="77777777" w:rsidR="00AD1772" w:rsidRPr="008B5C7B" w:rsidRDefault="00AD1772" w:rsidP="00AD1772">
            <w:pPr>
              <w:pStyle w:val="HSAGTableText"/>
              <w:numPr>
                <w:ilvl w:val="0"/>
                <w:numId w:val="32"/>
              </w:numPr>
              <w:contextualSpacing/>
            </w:pPr>
            <w:r w:rsidRPr="008B5C7B">
              <w:t>SV_E16_Final NMRE FY2023 Site Review Results Email to CHS</w:t>
            </w:r>
          </w:p>
          <w:p w14:paraId="70FB48C8" w14:textId="77777777" w:rsidR="00AD1772" w:rsidRPr="008B5C7B" w:rsidRDefault="00AD1772" w:rsidP="00AD1772">
            <w:pPr>
              <w:pStyle w:val="HSAGTableText"/>
              <w:numPr>
                <w:ilvl w:val="0"/>
                <w:numId w:val="32"/>
              </w:numPr>
              <w:contextualSpacing/>
            </w:pPr>
            <w:r w:rsidRPr="008B5C7B">
              <w:t>SV_E16_NMRE_Guide_to_SVCS_pages 16,26</w:t>
            </w:r>
          </w:p>
          <w:p w14:paraId="73240369" w14:textId="77777777" w:rsidR="00AD1772" w:rsidRPr="008B5C7B" w:rsidRDefault="00AD1772" w:rsidP="00AD1772">
            <w:pPr>
              <w:pStyle w:val="HSAGTableText"/>
              <w:numPr>
                <w:ilvl w:val="0"/>
                <w:numId w:val="32"/>
              </w:numPr>
              <w:contextualSpacing/>
            </w:pPr>
            <w:r w:rsidRPr="008B5C7B">
              <w:t>SV_E16_NMRE Care Coordination Policy</w:t>
            </w:r>
          </w:p>
          <w:p w14:paraId="47A3BC92" w14:textId="77777777" w:rsidR="00AD1772" w:rsidRPr="008B5C7B" w:rsidRDefault="00AD1772" w:rsidP="00AD1772">
            <w:pPr>
              <w:pStyle w:val="HSAGTableText"/>
              <w:numPr>
                <w:ilvl w:val="0"/>
                <w:numId w:val="32"/>
              </w:numPr>
              <w:contextualSpacing/>
            </w:pPr>
            <w:r w:rsidRPr="008B5C7B">
              <w:t>SV_E16_NMRE-SUD-Provider-Manual-2022-V2</w:t>
            </w:r>
          </w:p>
          <w:p w14:paraId="6F85F664" w14:textId="77777777" w:rsidR="00AD1772" w:rsidRPr="008B5C7B" w:rsidRDefault="00AD1772" w:rsidP="00AD1772">
            <w:pPr>
              <w:pStyle w:val="HSAGTableText"/>
              <w:numPr>
                <w:ilvl w:val="0"/>
                <w:numId w:val="32"/>
              </w:numPr>
              <w:contextualSpacing/>
            </w:pPr>
            <w:r w:rsidRPr="008B5C7B">
              <w:t>SV_E16_QIP Standards CHS</w:t>
            </w:r>
          </w:p>
          <w:p w14:paraId="014A53DE" w14:textId="77777777" w:rsidR="00AD1772" w:rsidRPr="008B5C7B" w:rsidRDefault="00AD1772" w:rsidP="00AD1772">
            <w:pPr>
              <w:pStyle w:val="HSAGTableText"/>
              <w:numPr>
                <w:ilvl w:val="0"/>
                <w:numId w:val="32"/>
              </w:numPr>
              <w:contextualSpacing/>
            </w:pPr>
            <w:r w:rsidRPr="008B5C7B">
              <w:t>SV_E16_Quality Improvement Plan CHS (QIP)</w:t>
            </w:r>
          </w:p>
          <w:p w14:paraId="400119F2" w14:textId="77777777" w:rsidR="00AD1772" w:rsidRDefault="00AD1772" w:rsidP="00AD1772">
            <w:pPr>
              <w:pStyle w:val="HSAGTableText"/>
              <w:numPr>
                <w:ilvl w:val="0"/>
                <w:numId w:val="32"/>
              </w:numPr>
              <w:contextualSpacing/>
            </w:pPr>
            <w:r w:rsidRPr="008B5C7B">
              <w:t xml:space="preserve">SV_E16_Site Visit Results Overall </w:t>
            </w:r>
            <w:proofErr w:type="spellStart"/>
            <w:r w:rsidRPr="008B5C7B">
              <w:t>Comparison_CHS</w:t>
            </w:r>
            <w:proofErr w:type="spellEnd"/>
          </w:p>
          <w:p w14:paraId="0BC973B8" w14:textId="3884215F" w:rsidR="00AD1772" w:rsidRPr="00903F99" w:rsidRDefault="00AD1772" w:rsidP="00AD1772">
            <w:pPr>
              <w:pStyle w:val="HSAGTableText"/>
              <w:numPr>
                <w:ilvl w:val="0"/>
                <w:numId w:val="32"/>
              </w:numPr>
              <w:contextualSpacing/>
            </w:pPr>
            <w:r w:rsidRPr="008B5C7B">
              <w:lastRenderedPageBreak/>
              <w:t>SV_E16_SUD Monitoring Regional Average Scores (1)</w:t>
            </w:r>
          </w:p>
        </w:tc>
        <w:tc>
          <w:tcPr>
            <w:tcW w:w="1416" w:type="dxa"/>
            <w:vMerge/>
            <w:shd w:val="clear" w:color="auto" w:fill="FFFFFF" w:themeFill="background1"/>
          </w:tcPr>
          <w:p w14:paraId="4A691F9A" w14:textId="77777777" w:rsidR="00AD1772" w:rsidRPr="00903F99" w:rsidRDefault="00AD1772" w:rsidP="00AD1772">
            <w:pPr>
              <w:spacing w:before="0" w:after="0"/>
              <w:contextualSpacing/>
              <w:rPr>
                <w:sz w:val="22"/>
              </w:rPr>
            </w:pPr>
          </w:p>
        </w:tc>
      </w:tr>
      <w:tr w:rsidR="00AD1772" w:rsidRPr="00903F99" w14:paraId="53F4FFAD" w14:textId="77777777" w:rsidTr="00171D87">
        <w:trPr>
          <w:trHeight w:val="374"/>
          <w:jc w:val="center"/>
        </w:trPr>
        <w:tc>
          <w:tcPr>
            <w:tcW w:w="14011" w:type="dxa"/>
            <w:gridSpan w:val="4"/>
            <w:vAlign w:val="center"/>
          </w:tcPr>
          <w:p w14:paraId="76707993" w14:textId="28783D7F" w:rsidR="00AD1772" w:rsidRPr="00903F99" w:rsidRDefault="00AD1772" w:rsidP="00CC74C5">
            <w:pPr>
              <w:pStyle w:val="HSAGTableText"/>
            </w:pPr>
            <w:r w:rsidRPr="008B5C7B">
              <w:rPr>
                <w:b/>
              </w:rPr>
              <w:t>PIHP Description of Process:</w:t>
            </w:r>
            <w:r w:rsidRPr="008B5C7B">
              <w:t xml:space="preserve"> Algorithm to identify members eligible for Medicaid Specialty Mental Health Services and Supports: This element is focused on care coordination between behavioral health (CMHSP open clients) and physical health when a member is already receiving receives, where SUD can only be discussed with client’s permission and separate ROI. Due to this, it is not applicable for SUD population. </w:t>
            </w:r>
          </w:p>
        </w:tc>
      </w:tr>
      <w:tr w:rsidR="00AD1772" w:rsidRPr="0026679F" w14:paraId="47994717" w14:textId="77777777" w:rsidTr="00171D87">
        <w:trPr>
          <w:trHeight w:val="374"/>
          <w:jc w:val="center"/>
        </w:trPr>
        <w:tc>
          <w:tcPr>
            <w:tcW w:w="14011" w:type="dxa"/>
            <w:gridSpan w:val="4"/>
            <w:tcBorders>
              <w:bottom w:val="single" w:sz="4" w:space="0" w:color="000000"/>
            </w:tcBorders>
            <w:vAlign w:val="center"/>
          </w:tcPr>
          <w:p w14:paraId="27DBEC72" w14:textId="77777777" w:rsidR="00AD1772" w:rsidRPr="008B5C7B" w:rsidRDefault="00AD1772" w:rsidP="00AD1772">
            <w:pPr>
              <w:pStyle w:val="HSAGTableText"/>
              <w:contextualSpacing/>
            </w:pPr>
            <w:r w:rsidRPr="008B5C7B">
              <w:rPr>
                <w:b/>
              </w:rPr>
              <w:t>HSAG Findings:</w:t>
            </w:r>
            <w:r w:rsidRPr="008B5C7B">
              <w:t xml:space="preserve"> The PIHP provided a substance use disorder (SUD) tool template that supported that SUD treatment providers were being monitored by the PIHP. Although the tool template specifically included a section for the PIHP to confirm that there is evidence of </w:t>
            </w:r>
            <w:r>
              <w:t>PCP</w:t>
            </w:r>
            <w:r w:rsidRPr="008B5C7B">
              <w:t xml:space="preserve"> coordination of care efforts, the tool did not support that the PIHP was confirming that the member treatment case files also included documentation of the member’s PCP and the PCP’s address as required by sub-element (c) of this element. Additionally, although evidence of the PCP’s name and address were requested for </w:t>
            </w:r>
            <w:r w:rsidRPr="008B5C7B">
              <w:rPr>
                <w:i/>
                <w:iCs/>
              </w:rPr>
              <w:t xml:space="preserve">SV_E16_Example 3_CHS PCP consent and letter </w:t>
            </w:r>
            <w:r w:rsidRPr="008B5C7B">
              <w:t xml:space="preserve">case file, the PIHP explained that the SUD treatment provider’s policy was to have the PCP contact information listed in the member’s consent to release information form instead of in the treatment case file. However, a review of the </w:t>
            </w:r>
            <w:proofErr w:type="gramStart"/>
            <w:r w:rsidRPr="008B5C7B">
              <w:t>completed</w:t>
            </w:r>
            <w:proofErr w:type="gramEnd"/>
            <w:r w:rsidRPr="008B5C7B">
              <w:t xml:space="preserve"> </w:t>
            </w:r>
            <w:r w:rsidRPr="008B5C7B">
              <w:rPr>
                <w:i/>
                <w:iCs/>
              </w:rPr>
              <w:t>Authorization for Release of Information/Notification Client’s Primary Care Doctor</w:t>
            </w:r>
            <w:r w:rsidRPr="008B5C7B">
              <w:t xml:space="preserve"> form for case example three indicated that it only included the first and last name of the provider on the </w:t>
            </w:r>
            <w:proofErr w:type="gramStart"/>
            <w:r w:rsidRPr="008B5C7B">
              <w:t>form, and</w:t>
            </w:r>
            <w:proofErr w:type="gramEnd"/>
            <w:r w:rsidRPr="008B5C7B">
              <w:t xml:space="preserve"> did not include the address of the provider. Further, although two other case examples provided reference to the PCP, including the </w:t>
            </w:r>
            <w:proofErr w:type="gramStart"/>
            <w:r w:rsidRPr="008B5C7B">
              <w:t>provider</w:t>
            </w:r>
            <w:proofErr w:type="gramEnd"/>
            <w:r w:rsidRPr="008B5C7B">
              <w:t xml:space="preserve"> name, the provider address was not captured in the documents submitted as evidence of compliance. </w:t>
            </w:r>
          </w:p>
          <w:p w14:paraId="790172AD" w14:textId="3B0A8F31" w:rsidR="00AD1772" w:rsidRPr="0026679F" w:rsidRDefault="00AD1772" w:rsidP="00AD1772">
            <w:pPr>
              <w:pStyle w:val="HSAGTableText"/>
              <w:spacing w:before="0"/>
            </w:pPr>
            <w:r w:rsidRPr="008B5C7B">
              <w:rPr>
                <w:b/>
                <w:bCs/>
              </w:rPr>
              <w:t xml:space="preserve">Recommendations: </w:t>
            </w:r>
            <w:r w:rsidRPr="008B5C7B">
              <w:t xml:space="preserve">HSAG strongly recommends that the PIHP </w:t>
            </w:r>
            <w:proofErr w:type="gramStart"/>
            <w:r w:rsidRPr="008B5C7B">
              <w:t>enhance</w:t>
            </w:r>
            <w:proofErr w:type="gramEnd"/>
            <w:r w:rsidRPr="008B5C7B">
              <w:t xml:space="preserve"> its SUD monitoring tool to specifically review a sample of treatment case files to ensure that both the PCP’s name and address are documented in the member’s treatment plan. Additionally, HSAG strongly recommends that the PIHP educate its SUD treatment providers that the treatment case files must specifically include the PCP’s name and address, in addition to having the copy of the signed release of information in the treatment case file. </w:t>
            </w:r>
          </w:p>
        </w:tc>
      </w:tr>
      <w:tr w:rsidR="00AD1772" w:rsidRPr="0026679F" w14:paraId="35A1241D" w14:textId="77777777" w:rsidTr="00171D87">
        <w:trPr>
          <w:trHeight w:val="374"/>
          <w:jc w:val="center"/>
        </w:trPr>
        <w:tc>
          <w:tcPr>
            <w:tcW w:w="14011" w:type="dxa"/>
            <w:gridSpan w:val="4"/>
            <w:tcBorders>
              <w:top w:val="single" w:sz="4" w:space="0" w:color="000000"/>
              <w:bottom w:val="single" w:sz="4" w:space="0" w:color="auto"/>
            </w:tcBorders>
            <w:vAlign w:val="center"/>
          </w:tcPr>
          <w:p w14:paraId="5E491B17" w14:textId="1F242EB8" w:rsidR="00AD1772" w:rsidRPr="0026679F" w:rsidRDefault="00AD1772" w:rsidP="00AD1772">
            <w:pPr>
              <w:pStyle w:val="HSAGTableText"/>
              <w:rPr>
                <w:b/>
              </w:rPr>
            </w:pPr>
            <w:r w:rsidRPr="008B5C7B">
              <w:rPr>
                <w:b/>
              </w:rPr>
              <w:t xml:space="preserve">Required Actions: </w:t>
            </w:r>
            <w:r w:rsidRPr="008B5C7B">
              <w:t>In accordance with 42 CFR Part 2, the PIHP must take all appropriate steps to ensure that SUD treatment services are coordinated with primary health care</w:t>
            </w:r>
            <w:r>
              <w:t xml:space="preserve"> providers</w:t>
            </w:r>
            <w:r w:rsidRPr="008B5C7B">
              <w:t>. Member treatment case files must include, at minimum, both the PCP’s name and address and a signed release of information for purposes of coordination, or a statement that the member has refused to sign a release.</w:t>
            </w:r>
          </w:p>
        </w:tc>
      </w:tr>
      <w:tr w:rsidR="00AD1772" w:rsidRPr="00D16F05" w14:paraId="69700A1E" w14:textId="77777777" w:rsidTr="00171D87">
        <w:tblPrEx>
          <w:tblCellMar>
            <w:left w:w="108" w:type="dxa"/>
            <w:right w:w="108" w:type="dxa"/>
          </w:tblCellMar>
        </w:tblPrEx>
        <w:trPr>
          <w:trHeight w:val="374"/>
          <w:jc w:val="center"/>
        </w:trPr>
        <w:tc>
          <w:tcPr>
            <w:tcW w:w="14011" w:type="dxa"/>
            <w:gridSpan w:val="4"/>
            <w:tcBorders>
              <w:top w:val="single" w:sz="4" w:space="0" w:color="auto"/>
              <w:bottom w:val="single" w:sz="4" w:space="0" w:color="000000" w:themeColor="text1"/>
            </w:tcBorders>
            <w:shd w:val="clear" w:color="auto" w:fill="F79548" w:themeFill="accent4"/>
          </w:tcPr>
          <w:p w14:paraId="01F32F73" w14:textId="77777777" w:rsidR="00AD1772" w:rsidRPr="00D16F05" w:rsidRDefault="00AD1772" w:rsidP="00171D87">
            <w:pPr>
              <w:pStyle w:val="HSAGTableText"/>
              <w:keepNext/>
              <w:contextualSpacing/>
              <w:rPr>
                <w:b/>
              </w:rPr>
            </w:pPr>
            <w:r>
              <w:rPr>
                <w:b/>
              </w:rPr>
              <w:t>PIHP Corrective Action Plan</w:t>
            </w:r>
          </w:p>
        </w:tc>
      </w:tr>
      <w:tr w:rsidR="00AD1772" w:rsidRPr="00984D92" w14:paraId="7ED0D46E" w14:textId="77777777" w:rsidTr="00171D87">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0A411BB6" w14:textId="5219E6F2" w:rsidR="00AD1772" w:rsidRPr="00984D92" w:rsidRDefault="00AD1772" w:rsidP="00171D87">
            <w:pPr>
              <w:pStyle w:val="HSAGTableText"/>
              <w:contextualSpacing/>
              <w:rPr>
                <w:bCs/>
              </w:rPr>
            </w:pPr>
            <w:r>
              <w:rPr>
                <w:b/>
              </w:rPr>
              <w:t>Root Cause Analysis:</w:t>
            </w:r>
            <w:r w:rsidRPr="003F5489">
              <w:rPr>
                <w:bCs/>
              </w:rPr>
              <w:t xml:space="preserve"> </w:t>
            </w:r>
            <w:r w:rsidR="00E15B70">
              <w:rPr>
                <w:bCs/>
              </w:rPr>
              <w:t xml:space="preserve"> The</w:t>
            </w:r>
            <w:r w:rsidR="002045D3">
              <w:rPr>
                <w:bCs/>
              </w:rPr>
              <w:t xml:space="preserve"> NMRE site visit tool was not capturing all the required areas for this standard. </w:t>
            </w:r>
          </w:p>
        </w:tc>
      </w:tr>
      <w:tr w:rsidR="00AD1772" w:rsidRPr="00FC2C0F" w14:paraId="3CB79EF1" w14:textId="77777777" w:rsidTr="00171D87">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2C726C75" w14:textId="75F15718" w:rsidR="00AD1772" w:rsidRPr="00FC2C0F" w:rsidRDefault="00AD1772" w:rsidP="00171D87">
            <w:pPr>
              <w:pStyle w:val="HSAGTableText"/>
              <w:contextualSpacing/>
              <w:rPr>
                <w:bCs/>
              </w:rPr>
            </w:pPr>
            <w:r>
              <w:rPr>
                <w:b/>
              </w:rPr>
              <w:t>PIHP Remediation Plan</w:t>
            </w:r>
            <w:r w:rsidRPr="00B30934">
              <w:rPr>
                <w:b/>
              </w:rPr>
              <w:t>:</w:t>
            </w:r>
            <w:r>
              <w:rPr>
                <w:bCs/>
              </w:rPr>
              <w:t xml:space="preserve"> </w:t>
            </w:r>
            <w:r w:rsidR="002045D3">
              <w:rPr>
                <w:bCs/>
              </w:rPr>
              <w:t xml:space="preserve">NMRE will be utilizing </w:t>
            </w:r>
            <w:r w:rsidR="00E15B70">
              <w:rPr>
                <w:bCs/>
              </w:rPr>
              <w:t xml:space="preserve">a </w:t>
            </w:r>
            <w:r w:rsidR="002045D3">
              <w:rPr>
                <w:bCs/>
              </w:rPr>
              <w:t xml:space="preserve">new SUD service provider site visit tool in FY 2025 that addresses requirements in the standard as identified above. </w:t>
            </w:r>
          </w:p>
        </w:tc>
      </w:tr>
      <w:tr w:rsidR="00AD1772" w:rsidRPr="00FC2C0F" w14:paraId="5FC22717" w14:textId="77777777" w:rsidTr="00171D87">
        <w:tblPrEx>
          <w:tblCellMar>
            <w:left w:w="108" w:type="dxa"/>
            <w:right w:w="108" w:type="dxa"/>
          </w:tblCellMar>
        </w:tblPrEx>
        <w:trPr>
          <w:trHeight w:val="374"/>
          <w:jc w:val="center"/>
        </w:trPr>
        <w:tc>
          <w:tcPr>
            <w:tcW w:w="14011" w:type="dxa"/>
            <w:gridSpan w:val="4"/>
            <w:tcBorders>
              <w:top w:val="single" w:sz="4" w:space="0" w:color="000000"/>
              <w:bottom w:val="single" w:sz="4" w:space="0" w:color="000000" w:themeColor="text1"/>
            </w:tcBorders>
          </w:tcPr>
          <w:p w14:paraId="6B59669B" w14:textId="6E821423" w:rsidR="00AD1772" w:rsidRPr="00FC2C0F" w:rsidRDefault="00AD1772" w:rsidP="00171D87">
            <w:pPr>
              <w:pStyle w:val="HSAGTableText"/>
              <w:contextualSpacing/>
              <w:rPr>
                <w:bCs/>
              </w:rPr>
            </w:pPr>
            <w:r w:rsidRPr="00B30934">
              <w:rPr>
                <w:b/>
              </w:rPr>
              <w:t>Responsible Individual(s):</w:t>
            </w:r>
            <w:r>
              <w:rPr>
                <w:bCs/>
              </w:rPr>
              <w:t xml:space="preserve"> </w:t>
            </w:r>
            <w:r w:rsidR="002045D3">
              <w:rPr>
                <w:bCs/>
              </w:rPr>
              <w:t>B</w:t>
            </w:r>
            <w:r w:rsidR="00E15B70">
              <w:rPr>
                <w:bCs/>
              </w:rPr>
              <w:t>ranislava Arsenov, Chief Clinical Officer</w:t>
            </w:r>
          </w:p>
        </w:tc>
      </w:tr>
      <w:tr w:rsidR="00AD1772" w:rsidRPr="00FC2C0F" w14:paraId="7EFB975C" w14:textId="77777777" w:rsidTr="00171D87">
        <w:tblPrEx>
          <w:tblCellMar>
            <w:left w:w="108" w:type="dxa"/>
            <w:right w:w="108" w:type="dxa"/>
          </w:tblCellMar>
        </w:tblPrEx>
        <w:trPr>
          <w:trHeight w:val="374"/>
          <w:jc w:val="center"/>
        </w:trPr>
        <w:tc>
          <w:tcPr>
            <w:tcW w:w="14011" w:type="dxa"/>
            <w:gridSpan w:val="4"/>
            <w:tcBorders>
              <w:top w:val="single" w:sz="4" w:space="0" w:color="000000"/>
              <w:bottom w:val="single" w:sz="4" w:space="0" w:color="auto"/>
            </w:tcBorders>
          </w:tcPr>
          <w:p w14:paraId="36629504" w14:textId="38C814EA" w:rsidR="00AD1772" w:rsidRPr="00FC2C0F" w:rsidRDefault="00AD1772" w:rsidP="00171D87">
            <w:pPr>
              <w:pStyle w:val="HSAGTableText"/>
              <w:contextualSpacing/>
              <w:rPr>
                <w:bCs/>
              </w:rPr>
            </w:pPr>
            <w:r w:rsidRPr="00B30934">
              <w:rPr>
                <w:b/>
              </w:rPr>
              <w:t>Timeline:</w:t>
            </w:r>
            <w:r>
              <w:rPr>
                <w:bCs/>
              </w:rPr>
              <w:t xml:space="preserve"> </w:t>
            </w:r>
            <w:r w:rsidR="002045D3">
              <w:rPr>
                <w:bCs/>
              </w:rPr>
              <w:t>FY 2025</w:t>
            </w:r>
          </w:p>
        </w:tc>
      </w:tr>
      <w:tr w:rsidR="00AD1772" w14:paraId="1ED259CF" w14:textId="77777777" w:rsidTr="00171D87">
        <w:tblPrEx>
          <w:tblCellMar>
            <w:left w:w="108" w:type="dxa"/>
            <w:right w:w="108" w:type="dxa"/>
          </w:tblCellMar>
        </w:tblPrEx>
        <w:trPr>
          <w:trHeight w:val="374"/>
          <w:jc w:val="center"/>
        </w:trPr>
        <w:tc>
          <w:tcPr>
            <w:tcW w:w="10435" w:type="dxa"/>
            <w:gridSpan w:val="2"/>
            <w:tcBorders>
              <w:top w:val="single" w:sz="4" w:space="0" w:color="auto"/>
              <w:bottom w:val="single" w:sz="4" w:space="0" w:color="auto"/>
            </w:tcBorders>
            <w:shd w:val="clear" w:color="auto" w:fill="F2F2F2" w:themeFill="background1" w:themeFillShade="F2"/>
          </w:tcPr>
          <w:p w14:paraId="14EAAD9E" w14:textId="77777777" w:rsidR="00AD1772" w:rsidRPr="00FC2C0F" w:rsidRDefault="00AD1772" w:rsidP="0030569C">
            <w:pPr>
              <w:pStyle w:val="HSAGTableText"/>
              <w:keepNext/>
              <w:contextualSpacing/>
              <w:rPr>
                <w:bCs/>
              </w:rPr>
            </w:pPr>
            <w:r>
              <w:rPr>
                <w:b/>
              </w:rPr>
              <w:lastRenderedPageBreak/>
              <w:t>MDHHS/HSAG Response:</w:t>
            </w:r>
            <w:r>
              <w:rPr>
                <w:bCs/>
              </w:rPr>
              <w:t xml:space="preserve"> </w:t>
            </w:r>
          </w:p>
        </w:tc>
        <w:tc>
          <w:tcPr>
            <w:tcW w:w="3576" w:type="dxa"/>
            <w:gridSpan w:val="2"/>
            <w:tcBorders>
              <w:top w:val="single" w:sz="4" w:space="0" w:color="auto"/>
              <w:bottom w:val="single" w:sz="4" w:space="0" w:color="auto"/>
            </w:tcBorders>
            <w:shd w:val="clear" w:color="auto" w:fill="F2F2F2" w:themeFill="background1" w:themeFillShade="F2"/>
          </w:tcPr>
          <w:p w14:paraId="0A13505B" w14:textId="77777777" w:rsidR="00AD1772" w:rsidRPr="00C123EE" w:rsidRDefault="00000000" w:rsidP="00171D87">
            <w:pPr>
              <w:pStyle w:val="HSAGTableText"/>
              <w:contextualSpacing/>
              <w:rPr>
                <w:bCs/>
              </w:rPr>
            </w:pPr>
            <w:sdt>
              <w:sdtPr>
                <w:rPr>
                  <w:bCs/>
                </w:rPr>
                <w:id w:val="-1189753180"/>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Accepted</w:t>
            </w:r>
          </w:p>
          <w:p w14:paraId="21FE7140" w14:textId="77777777" w:rsidR="00AD1772" w:rsidRPr="00C123EE" w:rsidRDefault="00000000" w:rsidP="00171D87">
            <w:pPr>
              <w:pStyle w:val="HSAGTableText"/>
              <w:contextualSpacing/>
              <w:rPr>
                <w:bCs/>
              </w:rPr>
            </w:pPr>
            <w:sdt>
              <w:sdtPr>
                <w:rPr>
                  <w:bCs/>
                </w:rPr>
                <w:id w:val="-472068214"/>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Accepted </w:t>
            </w:r>
            <w:r w:rsidR="00AD1772">
              <w:rPr>
                <w:bCs/>
              </w:rPr>
              <w:t>W</w:t>
            </w:r>
            <w:r w:rsidR="00AD1772" w:rsidRPr="00C123EE">
              <w:rPr>
                <w:bCs/>
              </w:rPr>
              <w:t>ith Recommendations</w:t>
            </w:r>
          </w:p>
          <w:p w14:paraId="394B74F3" w14:textId="77777777" w:rsidR="00AD1772" w:rsidRDefault="00000000" w:rsidP="00171D87">
            <w:pPr>
              <w:pStyle w:val="HSAGTableText"/>
              <w:contextualSpacing/>
              <w:rPr>
                <w:b/>
              </w:rPr>
            </w:pPr>
            <w:sdt>
              <w:sdtPr>
                <w:rPr>
                  <w:bCs/>
                </w:rPr>
                <w:id w:val="1220401078"/>
                <w14:checkbox>
                  <w14:checked w14:val="0"/>
                  <w14:checkedState w14:val="2612" w14:font="MS Gothic"/>
                  <w14:uncheckedState w14:val="2610" w14:font="MS Gothic"/>
                </w14:checkbox>
              </w:sdtPr>
              <w:sdtContent>
                <w:r w:rsidR="00AD1772" w:rsidRPr="00C123EE">
                  <w:rPr>
                    <w:rFonts w:ascii="MS Gothic" w:eastAsia="MS Gothic" w:hAnsi="MS Gothic" w:hint="eastAsia"/>
                    <w:bCs/>
                  </w:rPr>
                  <w:t>☐</w:t>
                </w:r>
              </w:sdtContent>
            </w:sdt>
            <w:r w:rsidR="00AD1772" w:rsidRPr="00C123EE">
              <w:rPr>
                <w:bCs/>
              </w:rPr>
              <w:t xml:space="preserve"> Not Accepted</w:t>
            </w:r>
          </w:p>
        </w:tc>
      </w:tr>
    </w:tbl>
    <w:p w14:paraId="60B2B357" w14:textId="77777777" w:rsidR="00B01786" w:rsidRDefault="00B01786" w:rsidP="00E91392"/>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6463"/>
        <w:gridCol w:w="3964"/>
        <w:gridCol w:w="2149"/>
        <w:gridCol w:w="1428"/>
      </w:tblGrid>
      <w:tr w:rsidR="00AD1772" w:rsidRPr="00903F99" w14:paraId="053275E7" w14:textId="77777777" w:rsidTr="00171D87">
        <w:trPr>
          <w:trHeight w:val="374"/>
          <w:tblHeader/>
          <w:jc w:val="center"/>
        </w:trPr>
        <w:tc>
          <w:tcPr>
            <w:tcW w:w="14011" w:type="dxa"/>
            <w:gridSpan w:val="5"/>
            <w:shd w:val="clear" w:color="auto" w:fill="00549E"/>
            <w:vAlign w:val="center"/>
            <w:hideMark/>
          </w:tcPr>
          <w:p w14:paraId="3C9397C7" w14:textId="26B57A8D" w:rsidR="00AD1772" w:rsidRPr="00903F99" w:rsidRDefault="00AD1772" w:rsidP="00AD1772">
            <w:pPr>
              <w:pStyle w:val="HSAGTableHeading"/>
              <w:pageBreakBefore/>
              <w:spacing w:before="0" w:after="0"/>
              <w:contextualSpacing/>
            </w:pPr>
            <w:r>
              <w:lastRenderedPageBreak/>
              <w:t>Standard VI—</w:t>
            </w:r>
            <w:r w:rsidR="00753AE4">
              <w:t>Coverage and Authorization of Services</w:t>
            </w:r>
          </w:p>
        </w:tc>
      </w:tr>
      <w:tr w:rsidR="00AD1772" w:rsidRPr="0026679F" w14:paraId="63B4B075" w14:textId="77777777" w:rsidTr="00753AE4">
        <w:trPr>
          <w:trHeight w:val="374"/>
          <w:tblHeader/>
          <w:jc w:val="center"/>
        </w:trPr>
        <w:tc>
          <w:tcPr>
            <w:tcW w:w="6470" w:type="dxa"/>
            <w:gridSpan w:val="2"/>
            <w:shd w:val="clear" w:color="auto" w:fill="DFECF7"/>
            <w:vAlign w:val="center"/>
            <w:hideMark/>
          </w:tcPr>
          <w:p w14:paraId="7BE1D2C4" w14:textId="77777777" w:rsidR="00AD1772" w:rsidRPr="0026679F" w:rsidRDefault="00AD1772" w:rsidP="00171D87">
            <w:pPr>
              <w:pStyle w:val="HSAGTableHeading"/>
              <w:rPr>
                <w:color w:val="auto"/>
              </w:rPr>
            </w:pPr>
            <w:r w:rsidRPr="0026679F">
              <w:rPr>
                <w:color w:val="auto"/>
              </w:rPr>
              <w:t>Requirement</w:t>
            </w:r>
          </w:p>
        </w:tc>
        <w:tc>
          <w:tcPr>
            <w:tcW w:w="6113" w:type="dxa"/>
            <w:gridSpan w:val="2"/>
            <w:shd w:val="clear" w:color="auto" w:fill="DFECF7"/>
            <w:vAlign w:val="center"/>
            <w:hideMark/>
          </w:tcPr>
          <w:p w14:paraId="215F9DB8" w14:textId="77777777" w:rsidR="00AD1772" w:rsidRPr="0026679F" w:rsidRDefault="00AD1772" w:rsidP="00171D87">
            <w:pPr>
              <w:pStyle w:val="HSAGTableHeading"/>
              <w:rPr>
                <w:color w:val="auto"/>
              </w:rPr>
            </w:pPr>
            <w:r w:rsidRPr="0026679F">
              <w:rPr>
                <w:color w:val="auto"/>
              </w:rPr>
              <w:t>Supporting Documentation</w:t>
            </w:r>
          </w:p>
        </w:tc>
        <w:tc>
          <w:tcPr>
            <w:tcW w:w="1428" w:type="dxa"/>
            <w:shd w:val="clear" w:color="auto" w:fill="DFECF7"/>
            <w:vAlign w:val="center"/>
            <w:hideMark/>
          </w:tcPr>
          <w:p w14:paraId="6C3260B3" w14:textId="77777777" w:rsidR="00AD1772" w:rsidRPr="0026679F" w:rsidRDefault="00AD1772" w:rsidP="00171D87">
            <w:pPr>
              <w:pStyle w:val="HSAGTableHeading"/>
              <w:rPr>
                <w:color w:val="auto"/>
              </w:rPr>
            </w:pPr>
            <w:r w:rsidRPr="0026679F">
              <w:rPr>
                <w:color w:val="auto"/>
              </w:rPr>
              <w:t>Score</w:t>
            </w:r>
          </w:p>
        </w:tc>
      </w:tr>
      <w:tr w:rsidR="00753AE4" w:rsidRPr="00903F99" w14:paraId="5930DEB1" w14:textId="77777777" w:rsidTr="00753AE4">
        <w:trPr>
          <w:trHeight w:val="374"/>
          <w:jc w:val="center"/>
        </w:trPr>
        <w:tc>
          <w:tcPr>
            <w:tcW w:w="6470" w:type="dxa"/>
            <w:gridSpan w:val="2"/>
            <w:vMerge w:val="restart"/>
          </w:tcPr>
          <w:p w14:paraId="28E0E05C" w14:textId="77777777" w:rsidR="00753AE4" w:rsidRPr="008B5C7B" w:rsidRDefault="00753AE4" w:rsidP="00753AE4">
            <w:pPr>
              <w:pStyle w:val="ListNoNum"/>
              <w:rPr>
                <w:iCs/>
                <w:sz w:val="18"/>
                <w:szCs w:val="18"/>
              </w:rPr>
            </w:pPr>
            <w:r w:rsidRPr="008B5C7B">
              <w:rPr>
                <w:spacing w:val="-4"/>
              </w:rPr>
              <w:t>12.</w:t>
            </w:r>
            <w:r w:rsidRPr="008B5C7B">
              <w:rPr>
                <w:spacing w:val="-4"/>
              </w:rPr>
              <w:tab/>
            </w:r>
            <w:proofErr w:type="gramStart"/>
            <w:r w:rsidRPr="008B5C7B">
              <w:rPr>
                <w:iCs/>
              </w:rPr>
              <w:t>The PIHP</w:t>
            </w:r>
            <w:proofErr w:type="gramEnd"/>
            <w:r w:rsidRPr="008B5C7B">
              <w:rPr>
                <w:iCs/>
              </w:rPr>
              <w:t xml:space="preserve"> gives members written notice of any decision by the PIHP to deny a service authorization request, or to authorize a service in an amount, duration, or scope that is less than requested. The ABD notice includes the following: </w:t>
            </w:r>
          </w:p>
          <w:p w14:paraId="560BF0AD" w14:textId="77777777" w:rsidR="00753AE4" w:rsidRPr="008B5C7B" w:rsidRDefault="00753AE4" w:rsidP="00753AE4">
            <w:pPr>
              <w:pStyle w:val="ListNoNum2"/>
              <w:rPr>
                <w:i/>
                <w:iCs/>
              </w:rPr>
            </w:pPr>
            <w:r w:rsidRPr="008B5C7B">
              <w:t xml:space="preserve">a. </w:t>
            </w:r>
            <w:r w:rsidRPr="008B5C7B">
              <w:tab/>
            </w:r>
            <w:r w:rsidRPr="008B5C7B">
              <w:rPr>
                <w:i/>
                <w:iCs/>
              </w:rPr>
              <w:t>Notification that 42 CFR §440.230(d) provides the basic legal authority for an agency to place appropriate limits on a service based on such criteria as medical necessity or on utilization control procedures.</w:t>
            </w:r>
          </w:p>
          <w:p w14:paraId="231D1316" w14:textId="77777777" w:rsidR="00753AE4" w:rsidRPr="008B5C7B" w:rsidRDefault="00753AE4" w:rsidP="00753AE4">
            <w:pPr>
              <w:pStyle w:val="ListNoNum2"/>
            </w:pPr>
            <w:r w:rsidRPr="008B5C7B">
              <w:t xml:space="preserve">b. </w:t>
            </w:r>
            <w:r w:rsidRPr="008B5C7B">
              <w:tab/>
            </w:r>
            <w:r w:rsidRPr="008B5C7B">
              <w:rPr>
                <w:iCs/>
              </w:rPr>
              <w:t xml:space="preserve">The ABD the </w:t>
            </w:r>
            <w:r w:rsidRPr="008B5C7B">
              <w:t>PIHP has made or intends to make.</w:t>
            </w:r>
          </w:p>
          <w:p w14:paraId="2D71FE99" w14:textId="77777777" w:rsidR="00753AE4" w:rsidRPr="008B5C7B" w:rsidRDefault="00753AE4" w:rsidP="00753AE4">
            <w:pPr>
              <w:pStyle w:val="ListNoNum2"/>
            </w:pPr>
            <w:r w:rsidRPr="008B5C7B">
              <w:t xml:space="preserve">c. </w:t>
            </w:r>
            <w:r w:rsidRPr="008B5C7B">
              <w:tab/>
              <w:t>The reasons for the ABD.</w:t>
            </w:r>
          </w:p>
          <w:p w14:paraId="0940F1A0" w14:textId="77777777" w:rsidR="00753AE4" w:rsidRPr="008B5C7B" w:rsidRDefault="00753AE4" w:rsidP="00753AE4">
            <w:pPr>
              <w:pStyle w:val="ListNoNum2"/>
              <w:rPr>
                <w:i/>
                <w:iCs/>
              </w:rPr>
            </w:pPr>
            <w:r w:rsidRPr="008B5C7B">
              <w:t xml:space="preserve">d. </w:t>
            </w:r>
            <w:r w:rsidRPr="008B5C7B">
              <w:tab/>
            </w:r>
            <w:r w:rsidRPr="008B5C7B">
              <w:rPr>
                <w:i/>
                <w:iCs/>
              </w:rPr>
              <w:t>The policy/authority relied upon in making the determination.</w:t>
            </w:r>
          </w:p>
          <w:p w14:paraId="1B8249E3" w14:textId="77777777" w:rsidR="00753AE4" w:rsidRPr="008B5C7B" w:rsidRDefault="00753AE4" w:rsidP="00753AE4">
            <w:pPr>
              <w:pStyle w:val="ListNoNum2"/>
            </w:pPr>
            <w:r w:rsidRPr="008B5C7B">
              <w:t xml:space="preserve">e. </w:t>
            </w:r>
            <w:r w:rsidRPr="008B5C7B">
              <w:tab/>
              <w:t>The right of the member to be provided, upon request and free of charge, reasonable access to and copies of all documents, records, and other information relevant to the member’s ABD. Such information includes medical necessity criteria, and any processes, strategies, or evidentiary standards used in setting coverage limits.</w:t>
            </w:r>
          </w:p>
          <w:p w14:paraId="70595D3B" w14:textId="77777777" w:rsidR="00753AE4" w:rsidRPr="008B5C7B" w:rsidRDefault="00753AE4" w:rsidP="00753AE4">
            <w:pPr>
              <w:pStyle w:val="ListNoNum2"/>
            </w:pPr>
            <w:r w:rsidRPr="008B5C7B">
              <w:t xml:space="preserve">f. </w:t>
            </w:r>
            <w:r w:rsidRPr="008B5C7B">
              <w:tab/>
              <w:t>The member’s right to request an appeal of the PIHP’s ABD, including information on exhausting the PIHP’s one level of appeal, described at 42 CFR §438.402(b), and right to request a State fair hearing consistent with 42 CFR §438.402(c).</w:t>
            </w:r>
          </w:p>
          <w:p w14:paraId="2F5AA37C" w14:textId="77777777" w:rsidR="00753AE4" w:rsidRPr="008B5C7B" w:rsidRDefault="00753AE4" w:rsidP="00753AE4">
            <w:pPr>
              <w:pStyle w:val="ListNoNum2"/>
            </w:pPr>
            <w:r w:rsidRPr="008B5C7B">
              <w:t xml:space="preserve">g. </w:t>
            </w:r>
            <w:r w:rsidRPr="008B5C7B">
              <w:tab/>
              <w:t>The procedures for exercising the rights specified in 42 CFR §438.402(b).</w:t>
            </w:r>
          </w:p>
          <w:p w14:paraId="433E9A0C" w14:textId="77777777" w:rsidR="00753AE4" w:rsidRPr="008B5C7B" w:rsidRDefault="00753AE4" w:rsidP="00753AE4">
            <w:pPr>
              <w:pStyle w:val="ListNoNum2"/>
            </w:pPr>
            <w:r w:rsidRPr="008B5C7B">
              <w:t xml:space="preserve">h. </w:t>
            </w:r>
            <w:r w:rsidRPr="008B5C7B">
              <w:tab/>
              <w:t>The circumstances under which an appeal process can be expedited and how to request it.</w:t>
            </w:r>
          </w:p>
          <w:p w14:paraId="53A89B92" w14:textId="77777777" w:rsidR="00753AE4" w:rsidRPr="008B5C7B" w:rsidRDefault="00753AE4" w:rsidP="00753AE4">
            <w:pPr>
              <w:pStyle w:val="ListNoNum2"/>
            </w:pPr>
            <w:proofErr w:type="spellStart"/>
            <w:r w:rsidRPr="008B5C7B">
              <w:t>i</w:t>
            </w:r>
            <w:proofErr w:type="spellEnd"/>
            <w:r w:rsidRPr="008B5C7B">
              <w:t xml:space="preserve">. </w:t>
            </w:r>
            <w:r w:rsidRPr="008B5C7B">
              <w:tab/>
              <w:t xml:space="preserve">The member’s right to have benefits </w:t>
            </w:r>
            <w:proofErr w:type="gramStart"/>
            <w:r w:rsidRPr="008B5C7B">
              <w:t>continue</w:t>
            </w:r>
            <w:proofErr w:type="gramEnd"/>
            <w:r w:rsidRPr="008B5C7B">
              <w:t xml:space="preserve"> pending resolution of the appeal; how to request that benefits be continued; and the circumstances, consistent with State policy, under which the member may be required to pay the costs of </w:t>
            </w:r>
            <w:r w:rsidRPr="008B5C7B">
              <w:lastRenderedPageBreak/>
              <w:t xml:space="preserve">these services </w:t>
            </w:r>
            <w:r w:rsidRPr="008B5C7B">
              <w:rPr>
                <w:i/>
                <w:iCs/>
              </w:rPr>
              <w:t>(only required when providing advance notice of an ABD)</w:t>
            </w:r>
            <w:r w:rsidRPr="008B5C7B">
              <w:t>.</w:t>
            </w:r>
          </w:p>
          <w:p w14:paraId="06650862" w14:textId="77777777" w:rsidR="00753AE4" w:rsidRPr="008B5C7B" w:rsidRDefault="00753AE4" w:rsidP="00753AE4">
            <w:pPr>
              <w:pStyle w:val="ListNoNum2"/>
              <w:rPr>
                <w:i/>
                <w:iCs/>
              </w:rPr>
            </w:pPr>
            <w:r w:rsidRPr="008B5C7B">
              <w:t xml:space="preserve">j. </w:t>
            </w:r>
            <w:r w:rsidRPr="008B5C7B">
              <w:tab/>
            </w:r>
            <w:r w:rsidRPr="008B5C7B">
              <w:rPr>
                <w:i/>
                <w:iCs/>
              </w:rPr>
              <w:t>An explanation that the member may represent himself/herself or use legal counsel, a relative, a friend, or other spokesman.</w:t>
            </w:r>
          </w:p>
          <w:p w14:paraId="6CFF50FF" w14:textId="77777777" w:rsidR="00753AE4" w:rsidRPr="008B5C7B" w:rsidRDefault="00753AE4" w:rsidP="00753AE4">
            <w:pPr>
              <w:pStyle w:val="ListNoNum2"/>
              <w:rPr>
                <w:iCs/>
                <w:sz w:val="18"/>
                <w:szCs w:val="18"/>
              </w:rPr>
            </w:pPr>
            <w:r w:rsidRPr="008B5C7B">
              <w:t xml:space="preserve">k. </w:t>
            </w:r>
            <w:r w:rsidRPr="008B5C7B">
              <w:tab/>
              <w:t>The notice must be</w:t>
            </w:r>
            <w:r w:rsidRPr="008B5C7B">
              <w:rPr>
                <w:iCs/>
              </w:rPr>
              <w:t xml:space="preserve"> consistent with the requirements of 42 CFR §438.10.</w:t>
            </w:r>
          </w:p>
          <w:p w14:paraId="19D325B9" w14:textId="77777777" w:rsidR="00753AE4" w:rsidRPr="008B5C7B" w:rsidRDefault="00753AE4" w:rsidP="00753AE4">
            <w:pPr>
              <w:pStyle w:val="HSAGTableText"/>
              <w:contextualSpacing/>
              <w:rPr>
                <w:iCs/>
              </w:rPr>
            </w:pPr>
          </w:p>
          <w:p w14:paraId="545AF103"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§438.10</w:t>
            </w:r>
          </w:p>
          <w:p w14:paraId="3FDCF2E1"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§438.210(c)</w:t>
            </w:r>
          </w:p>
          <w:p w14:paraId="1A5E8612"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§438.402(b-c)</w:t>
            </w:r>
          </w:p>
          <w:p w14:paraId="374A1C55"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§438.404(a-b)</w:t>
            </w:r>
          </w:p>
          <w:p w14:paraId="312DC0C5" w14:textId="77777777" w:rsidR="00753AE4" w:rsidRPr="008B5C7B" w:rsidRDefault="00753AE4" w:rsidP="00753AE4">
            <w:pPr>
              <w:pStyle w:val="HSAGNumbers"/>
              <w:numPr>
                <w:ilvl w:val="0"/>
                <w:numId w:val="0"/>
              </w:numPr>
              <w:ind w:left="360"/>
              <w:contextualSpacing/>
              <w:jc w:val="right"/>
              <w:rPr>
                <w:sz w:val="18"/>
                <w:szCs w:val="18"/>
              </w:rPr>
            </w:pPr>
            <w:r w:rsidRPr="008B5C7B">
              <w:rPr>
                <w:sz w:val="18"/>
                <w:szCs w:val="18"/>
              </w:rPr>
              <w:t>42 CFR §457.1230(d)</w:t>
            </w:r>
          </w:p>
          <w:p w14:paraId="434921E1"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§457.1260(b)(1)</w:t>
            </w:r>
          </w:p>
          <w:p w14:paraId="67A5862F"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42 CFR §457.1260(c)(1-2)</w:t>
            </w:r>
          </w:p>
          <w:p w14:paraId="5419A3EC" w14:textId="77777777" w:rsidR="00753AE4" w:rsidRPr="008B5C7B" w:rsidRDefault="00753AE4" w:rsidP="00753AE4">
            <w:pPr>
              <w:pStyle w:val="HSAGNumbers"/>
              <w:numPr>
                <w:ilvl w:val="0"/>
                <w:numId w:val="0"/>
              </w:numPr>
              <w:ind w:left="360"/>
              <w:contextualSpacing/>
              <w:jc w:val="right"/>
              <w:rPr>
                <w:iCs/>
                <w:sz w:val="18"/>
                <w:szCs w:val="18"/>
              </w:rPr>
            </w:pPr>
            <w:r w:rsidRPr="008B5C7B">
              <w:rPr>
                <w:iCs/>
                <w:sz w:val="18"/>
                <w:szCs w:val="18"/>
              </w:rPr>
              <w:t>Contract Schedule A–1(L)(2)(a)(</w:t>
            </w:r>
            <w:proofErr w:type="spellStart"/>
            <w:r w:rsidRPr="008B5C7B">
              <w:rPr>
                <w:iCs/>
                <w:sz w:val="18"/>
                <w:szCs w:val="18"/>
              </w:rPr>
              <w:t>i</w:t>
            </w:r>
            <w:proofErr w:type="spellEnd"/>
            <w:r w:rsidRPr="008B5C7B">
              <w:rPr>
                <w:iCs/>
                <w:sz w:val="18"/>
                <w:szCs w:val="18"/>
              </w:rPr>
              <w:t>-v)</w:t>
            </w:r>
          </w:p>
          <w:p w14:paraId="76B26F52" w14:textId="77777777" w:rsidR="00753AE4" w:rsidRPr="00A732BB" w:rsidRDefault="00753AE4" w:rsidP="00A732BB">
            <w:pPr>
              <w:pStyle w:val="HSAGNumbers"/>
              <w:numPr>
                <w:ilvl w:val="0"/>
                <w:numId w:val="0"/>
              </w:numPr>
              <w:spacing w:before="0" w:after="0"/>
              <w:contextualSpacing/>
              <w:jc w:val="right"/>
              <w:rPr>
                <w:sz w:val="18"/>
                <w:szCs w:val="18"/>
              </w:rPr>
            </w:pPr>
            <w:r w:rsidRPr="008B5C7B">
              <w:rPr>
                <w:sz w:val="18"/>
                <w:szCs w:val="18"/>
              </w:rPr>
              <w:t xml:space="preserve">Appeal and Grievance Resolution </w:t>
            </w:r>
            <w:r w:rsidRPr="00A732BB">
              <w:rPr>
                <w:sz w:val="18"/>
                <w:szCs w:val="18"/>
              </w:rPr>
              <w:t>Processes Technical Requirement–IV(A)</w:t>
            </w:r>
          </w:p>
          <w:p w14:paraId="25E2550B" w14:textId="36658DC8" w:rsidR="00753AE4" w:rsidRPr="00903F99" w:rsidRDefault="00753AE4" w:rsidP="00A732BB">
            <w:pPr>
              <w:pStyle w:val="HSAGTableContracttext"/>
              <w:keepNext/>
              <w:spacing w:before="0" w:after="0"/>
              <w:ind w:left="1440"/>
              <w:contextualSpacing/>
              <w:rPr>
                <w:i w:val="0"/>
                <w:szCs w:val="18"/>
              </w:rPr>
            </w:pPr>
            <w:r w:rsidRPr="00A732BB">
              <w:rPr>
                <w:i w:val="0"/>
                <w:sz w:val="18"/>
                <w:szCs w:val="18"/>
              </w:rPr>
              <w:t>Appeal and Grievance Resolution Processes Technical Requirement–IV(C)(1)</w:t>
            </w:r>
          </w:p>
        </w:tc>
        <w:tc>
          <w:tcPr>
            <w:tcW w:w="6113" w:type="dxa"/>
            <w:gridSpan w:val="2"/>
            <w:shd w:val="clear" w:color="auto" w:fill="FFFFFF" w:themeFill="background1"/>
          </w:tcPr>
          <w:p w14:paraId="70FD0832" w14:textId="77777777" w:rsidR="00753AE4" w:rsidRPr="008B5C7B" w:rsidRDefault="00753AE4" w:rsidP="00753AE4">
            <w:pPr>
              <w:pStyle w:val="HSAGTableText"/>
              <w:contextualSpacing/>
              <w:rPr>
                <w:b/>
                <w:bCs/>
              </w:rPr>
            </w:pPr>
            <w:r w:rsidRPr="008B5C7B">
              <w:rPr>
                <w:b/>
                <w:bCs/>
              </w:rPr>
              <w:lastRenderedPageBreak/>
              <w:t>HSAG Required Evidence:</w:t>
            </w:r>
          </w:p>
          <w:p w14:paraId="36305E80" w14:textId="77777777" w:rsidR="00753AE4" w:rsidRPr="008B5C7B" w:rsidRDefault="00753AE4" w:rsidP="00753AE4">
            <w:pPr>
              <w:pStyle w:val="HSAGTableText"/>
              <w:numPr>
                <w:ilvl w:val="0"/>
                <w:numId w:val="33"/>
              </w:numPr>
              <w:spacing w:before="0" w:after="0"/>
              <w:contextualSpacing/>
            </w:pPr>
            <w:r w:rsidRPr="008B5C7B">
              <w:t>Policies and procedures</w:t>
            </w:r>
          </w:p>
          <w:p w14:paraId="78A6238C" w14:textId="77777777" w:rsidR="00753AE4" w:rsidRPr="008B5C7B" w:rsidRDefault="00753AE4" w:rsidP="00753AE4">
            <w:pPr>
              <w:pStyle w:val="HSAGTableText"/>
              <w:numPr>
                <w:ilvl w:val="0"/>
                <w:numId w:val="33"/>
              </w:numPr>
              <w:contextualSpacing/>
            </w:pPr>
            <w:r w:rsidRPr="008B5C7B">
              <w:t>UM program description</w:t>
            </w:r>
          </w:p>
          <w:p w14:paraId="124854D9" w14:textId="77777777" w:rsidR="00753AE4" w:rsidRDefault="00753AE4" w:rsidP="00753AE4">
            <w:pPr>
              <w:pStyle w:val="HSAGTableText"/>
              <w:numPr>
                <w:ilvl w:val="0"/>
                <w:numId w:val="33"/>
              </w:numPr>
              <w:spacing w:before="0" w:after="0"/>
              <w:contextualSpacing/>
            </w:pPr>
            <w:r w:rsidRPr="008B5C7B">
              <w:t>ABD notice template with taglines</w:t>
            </w:r>
          </w:p>
          <w:p w14:paraId="76E546FB" w14:textId="60BB736F" w:rsidR="00753AE4" w:rsidRPr="00903F99" w:rsidRDefault="00753AE4" w:rsidP="00753AE4">
            <w:pPr>
              <w:pStyle w:val="HSAGTableText"/>
              <w:numPr>
                <w:ilvl w:val="0"/>
                <w:numId w:val="33"/>
              </w:numPr>
              <w:spacing w:before="0" w:after="0"/>
              <w:contextualSpacing/>
            </w:pPr>
            <w:r w:rsidRPr="008B5C7B">
              <w:t>HSAG will also use the results of the service authorization denial file review</w:t>
            </w:r>
          </w:p>
        </w:tc>
        <w:tc>
          <w:tcPr>
            <w:tcW w:w="1428" w:type="dxa"/>
            <w:vMerge w:val="restart"/>
            <w:shd w:val="clear" w:color="auto" w:fill="FFFFFF" w:themeFill="background1"/>
          </w:tcPr>
          <w:p w14:paraId="706DBDD7" w14:textId="77777777" w:rsidR="00753AE4" w:rsidRPr="008B5C7B" w:rsidRDefault="00000000" w:rsidP="00753AE4">
            <w:pPr>
              <w:spacing w:before="60" w:after="0"/>
              <w:contextualSpacing/>
              <w:rPr>
                <w:sz w:val="22"/>
              </w:rPr>
            </w:pPr>
            <w:sdt>
              <w:sdtPr>
                <w:rPr>
                  <w:sz w:val="22"/>
                </w:rPr>
                <w:id w:val="1784841173"/>
                <w14:checkbox>
                  <w14:checked w14:val="0"/>
                  <w14:checkedState w14:val="2612" w14:font="MS Gothic"/>
                  <w14:uncheckedState w14:val="2610" w14:font="MS Gothic"/>
                </w14:checkbox>
              </w:sdtPr>
              <w:sdtContent>
                <w:r w:rsidR="00753AE4" w:rsidRPr="008B5C7B">
                  <w:rPr>
                    <w:rFonts w:ascii="MS Gothic" w:eastAsia="MS Gothic" w:hAnsi="MS Gothic"/>
                    <w:sz w:val="22"/>
                  </w:rPr>
                  <w:t>☐</w:t>
                </w:r>
              </w:sdtContent>
            </w:sdt>
            <w:r w:rsidR="00753AE4" w:rsidRPr="008B5C7B">
              <w:rPr>
                <w:sz w:val="22"/>
              </w:rPr>
              <w:t xml:space="preserve"> Met</w:t>
            </w:r>
          </w:p>
          <w:p w14:paraId="3D18D385" w14:textId="77777777" w:rsidR="00753AE4" w:rsidRPr="008B5C7B" w:rsidRDefault="00000000" w:rsidP="00753AE4">
            <w:pPr>
              <w:spacing w:before="60" w:after="0"/>
              <w:contextualSpacing/>
              <w:rPr>
                <w:sz w:val="22"/>
              </w:rPr>
            </w:pPr>
            <w:sdt>
              <w:sdtPr>
                <w:rPr>
                  <w:sz w:val="22"/>
                </w:rPr>
                <w:id w:val="-468980130"/>
                <w14:checkbox>
                  <w14:checked w14:val="1"/>
                  <w14:checkedState w14:val="2612" w14:font="MS Gothic"/>
                  <w14:uncheckedState w14:val="2610" w14:font="MS Gothic"/>
                </w14:checkbox>
              </w:sdtPr>
              <w:sdtContent>
                <w:r w:rsidR="00753AE4" w:rsidRPr="008B5C7B">
                  <w:rPr>
                    <w:rFonts w:ascii="MS Gothic" w:eastAsia="MS Gothic" w:hAnsi="MS Gothic"/>
                    <w:sz w:val="22"/>
                  </w:rPr>
                  <w:t>☒</w:t>
                </w:r>
              </w:sdtContent>
            </w:sdt>
            <w:r w:rsidR="00753AE4" w:rsidRPr="008B5C7B">
              <w:rPr>
                <w:sz w:val="22"/>
              </w:rPr>
              <w:t xml:space="preserve"> Not Met</w:t>
            </w:r>
          </w:p>
          <w:p w14:paraId="7C777D3D" w14:textId="77777777" w:rsidR="00753AE4" w:rsidRPr="008B5C7B" w:rsidRDefault="00000000" w:rsidP="00753AE4">
            <w:pPr>
              <w:spacing w:before="60" w:after="0"/>
              <w:contextualSpacing/>
              <w:rPr>
                <w:sz w:val="22"/>
              </w:rPr>
            </w:pPr>
            <w:sdt>
              <w:sdtPr>
                <w:rPr>
                  <w:sz w:val="22"/>
                </w:rPr>
                <w:id w:val="9414441"/>
                <w14:checkbox>
                  <w14:checked w14:val="0"/>
                  <w14:checkedState w14:val="2612" w14:font="MS Gothic"/>
                  <w14:uncheckedState w14:val="2610" w14:font="MS Gothic"/>
                </w14:checkbox>
              </w:sdtPr>
              <w:sdtContent>
                <w:r w:rsidR="00753AE4" w:rsidRPr="008B5C7B">
                  <w:rPr>
                    <w:rFonts w:ascii="MS Gothic" w:eastAsia="MS Gothic" w:hAnsi="MS Gothic"/>
                    <w:sz w:val="22"/>
                  </w:rPr>
                  <w:t>☐</w:t>
                </w:r>
              </w:sdtContent>
            </w:sdt>
            <w:r w:rsidR="00753AE4" w:rsidRPr="008B5C7B">
              <w:rPr>
                <w:sz w:val="22"/>
              </w:rPr>
              <w:t xml:space="preserve"> NA</w:t>
            </w:r>
          </w:p>
          <w:p w14:paraId="54E11008" w14:textId="77777777" w:rsidR="00753AE4" w:rsidRPr="00903F99" w:rsidRDefault="00753AE4" w:rsidP="00753AE4">
            <w:pPr>
              <w:spacing w:before="0" w:after="0"/>
              <w:contextualSpacing/>
              <w:rPr>
                <w:sz w:val="22"/>
              </w:rPr>
            </w:pPr>
          </w:p>
        </w:tc>
      </w:tr>
      <w:tr w:rsidR="00753AE4" w:rsidRPr="00903F99" w14:paraId="25BF3F3A" w14:textId="77777777" w:rsidTr="00753AE4">
        <w:trPr>
          <w:trHeight w:val="374"/>
          <w:jc w:val="center"/>
        </w:trPr>
        <w:tc>
          <w:tcPr>
            <w:tcW w:w="6470" w:type="dxa"/>
            <w:gridSpan w:val="2"/>
            <w:vMerge/>
          </w:tcPr>
          <w:p w14:paraId="42DC19B2" w14:textId="77777777" w:rsidR="00753AE4" w:rsidRPr="00903F99" w:rsidRDefault="00753AE4" w:rsidP="00753AE4">
            <w:pPr>
              <w:pStyle w:val="HSAGNumbers"/>
              <w:numPr>
                <w:ilvl w:val="0"/>
                <w:numId w:val="17"/>
              </w:numPr>
              <w:spacing w:before="0" w:after="0"/>
              <w:contextualSpacing/>
            </w:pPr>
          </w:p>
        </w:tc>
        <w:tc>
          <w:tcPr>
            <w:tcW w:w="6113" w:type="dxa"/>
            <w:gridSpan w:val="2"/>
            <w:shd w:val="clear" w:color="auto" w:fill="FFFFFF" w:themeFill="background1"/>
          </w:tcPr>
          <w:p w14:paraId="0F0C8AE5" w14:textId="77777777" w:rsidR="00753AE4" w:rsidRPr="008B5C7B" w:rsidRDefault="00753AE4" w:rsidP="00753AE4">
            <w:pPr>
              <w:pStyle w:val="HSAGTableText"/>
              <w:contextualSpacing/>
              <w:rPr>
                <w:b/>
                <w:bCs/>
              </w:rPr>
            </w:pPr>
            <w:r w:rsidRPr="008B5C7B">
              <w:rPr>
                <w:b/>
                <w:bCs/>
              </w:rPr>
              <w:t>Evidence as Submitted by the PIHP:</w:t>
            </w:r>
          </w:p>
          <w:p w14:paraId="6F391EDF" w14:textId="77777777" w:rsidR="00753AE4" w:rsidRPr="008B5C7B" w:rsidRDefault="00753AE4" w:rsidP="00753AE4">
            <w:pPr>
              <w:pStyle w:val="HSAGTableText"/>
              <w:numPr>
                <w:ilvl w:val="0"/>
                <w:numId w:val="34"/>
              </w:numPr>
              <w:contextualSpacing/>
            </w:pPr>
            <w:r w:rsidRPr="008B5C7B">
              <w:t>SVI _E12_ABD Template</w:t>
            </w:r>
          </w:p>
          <w:p w14:paraId="7D624D3D" w14:textId="77777777" w:rsidR="00753AE4" w:rsidRPr="008B5C7B" w:rsidRDefault="00753AE4" w:rsidP="00753AE4">
            <w:pPr>
              <w:pStyle w:val="HSAGTableText"/>
              <w:numPr>
                <w:ilvl w:val="0"/>
                <w:numId w:val="34"/>
              </w:numPr>
              <w:contextualSpacing/>
            </w:pPr>
            <w:r w:rsidRPr="008B5C7B">
              <w:t>SVI_E12_ABD denial</w:t>
            </w:r>
          </w:p>
          <w:p w14:paraId="3F3A23A8" w14:textId="77777777" w:rsidR="00753AE4" w:rsidRPr="008B5C7B" w:rsidRDefault="00753AE4" w:rsidP="00753AE4">
            <w:pPr>
              <w:pStyle w:val="HSAGTableText"/>
              <w:numPr>
                <w:ilvl w:val="0"/>
                <w:numId w:val="34"/>
              </w:numPr>
              <w:contextualSpacing/>
            </w:pPr>
            <w:r w:rsidRPr="008B5C7B">
              <w:t>SVI_E12_CWN Appeals and Grievances Policy</w:t>
            </w:r>
          </w:p>
          <w:p w14:paraId="3476BFAB" w14:textId="77777777" w:rsidR="00753AE4" w:rsidRPr="008B5C7B" w:rsidRDefault="00753AE4" w:rsidP="00753AE4">
            <w:pPr>
              <w:pStyle w:val="HSAGTableText"/>
              <w:numPr>
                <w:ilvl w:val="0"/>
                <w:numId w:val="34"/>
              </w:numPr>
              <w:contextualSpacing/>
            </w:pPr>
            <w:r w:rsidRPr="008B5C7B">
              <w:t>SVI_E12_CWN Example ABD pages 1-4</w:t>
            </w:r>
          </w:p>
          <w:p w14:paraId="4AA3E294" w14:textId="77777777" w:rsidR="00753AE4" w:rsidRPr="008B5C7B" w:rsidRDefault="00753AE4" w:rsidP="00753AE4">
            <w:pPr>
              <w:pStyle w:val="HSAGTableText"/>
              <w:numPr>
                <w:ilvl w:val="0"/>
                <w:numId w:val="34"/>
              </w:numPr>
              <w:contextualSpacing/>
            </w:pPr>
            <w:r w:rsidRPr="008B5C7B">
              <w:t>SVI_E12_Grievance and Appeals Process</w:t>
            </w:r>
          </w:p>
          <w:p w14:paraId="0C383158" w14:textId="77777777" w:rsidR="00753AE4" w:rsidRPr="008B5C7B" w:rsidRDefault="00753AE4" w:rsidP="00753AE4">
            <w:pPr>
              <w:pStyle w:val="HSAGTableText"/>
              <w:numPr>
                <w:ilvl w:val="0"/>
                <w:numId w:val="34"/>
              </w:numPr>
              <w:contextualSpacing/>
            </w:pPr>
            <w:r w:rsidRPr="008B5C7B">
              <w:t xml:space="preserve">SVI_E12_NCCMH Grievance and Appeal </w:t>
            </w:r>
            <w:proofErr w:type="spellStart"/>
            <w:r w:rsidRPr="008B5C7B">
              <w:t>Procedure_page</w:t>
            </w:r>
            <w:proofErr w:type="spellEnd"/>
            <w:r w:rsidRPr="008B5C7B">
              <w:t xml:space="preserve"> 4-5</w:t>
            </w:r>
          </w:p>
          <w:p w14:paraId="62C9ADD2" w14:textId="77777777" w:rsidR="00753AE4" w:rsidRPr="008B5C7B" w:rsidRDefault="00753AE4" w:rsidP="00753AE4">
            <w:pPr>
              <w:pStyle w:val="HSAGTableText"/>
              <w:numPr>
                <w:ilvl w:val="0"/>
                <w:numId w:val="34"/>
              </w:numPr>
              <w:contextualSpacing/>
            </w:pPr>
            <w:r w:rsidRPr="008B5C7B">
              <w:t>SVI_E12_NLCMHA UM Plan (2023)</w:t>
            </w:r>
          </w:p>
          <w:p w14:paraId="5EF9DF87" w14:textId="77777777" w:rsidR="00753AE4" w:rsidRDefault="00753AE4" w:rsidP="00753AE4">
            <w:pPr>
              <w:pStyle w:val="HSAGTableText"/>
              <w:numPr>
                <w:ilvl w:val="0"/>
                <w:numId w:val="34"/>
              </w:numPr>
              <w:contextualSpacing/>
            </w:pPr>
            <w:r w:rsidRPr="008B5C7B">
              <w:t xml:space="preserve">SVI_E12_NMRE Beneficiary Grievance and Appeals </w:t>
            </w:r>
            <w:proofErr w:type="spellStart"/>
            <w:r w:rsidRPr="008B5C7B">
              <w:t>Policy_page</w:t>
            </w:r>
            <w:proofErr w:type="spellEnd"/>
            <w:r w:rsidRPr="008B5C7B">
              <w:t xml:space="preserve"> 6 section B</w:t>
            </w:r>
          </w:p>
          <w:p w14:paraId="10D2A300" w14:textId="4CCFE7BB" w:rsidR="00753AE4" w:rsidRPr="00903F99" w:rsidRDefault="00753AE4" w:rsidP="00753AE4">
            <w:pPr>
              <w:pStyle w:val="HSAGTableText"/>
              <w:numPr>
                <w:ilvl w:val="0"/>
                <w:numId w:val="34"/>
              </w:numPr>
              <w:contextualSpacing/>
            </w:pPr>
            <w:r w:rsidRPr="008B5C7B">
              <w:t>SVI_E12_NMRE_UM Program</w:t>
            </w:r>
          </w:p>
        </w:tc>
        <w:tc>
          <w:tcPr>
            <w:tcW w:w="1428" w:type="dxa"/>
            <w:vMerge/>
            <w:shd w:val="clear" w:color="auto" w:fill="FFFFFF" w:themeFill="background1"/>
          </w:tcPr>
          <w:p w14:paraId="7BC3E899" w14:textId="77777777" w:rsidR="00753AE4" w:rsidRPr="00903F99" w:rsidRDefault="00753AE4" w:rsidP="00753AE4">
            <w:pPr>
              <w:spacing w:before="0" w:after="0"/>
              <w:contextualSpacing/>
              <w:rPr>
                <w:sz w:val="22"/>
              </w:rPr>
            </w:pPr>
          </w:p>
        </w:tc>
      </w:tr>
      <w:tr w:rsidR="00753AE4" w:rsidRPr="00903F99" w14:paraId="784D2AC8" w14:textId="77777777" w:rsidTr="00171D87">
        <w:trPr>
          <w:trHeight w:val="374"/>
          <w:jc w:val="center"/>
        </w:trPr>
        <w:tc>
          <w:tcPr>
            <w:tcW w:w="14011" w:type="dxa"/>
            <w:gridSpan w:val="5"/>
            <w:vAlign w:val="center"/>
          </w:tcPr>
          <w:p w14:paraId="34E96179" w14:textId="287DC6E2" w:rsidR="00753AE4" w:rsidRPr="00903F99" w:rsidRDefault="00753AE4" w:rsidP="00753AE4">
            <w:pPr>
              <w:pStyle w:val="HSAGTableText"/>
              <w:spacing w:before="0" w:after="0"/>
            </w:pPr>
            <w:r w:rsidRPr="008B5C7B">
              <w:rPr>
                <w:b/>
              </w:rPr>
              <w:t>PIHP Description of Process:</w:t>
            </w:r>
            <w:r w:rsidRPr="008B5C7B">
              <w:t xml:space="preserve"> n/a</w:t>
            </w:r>
          </w:p>
        </w:tc>
      </w:tr>
      <w:tr w:rsidR="00753AE4" w:rsidRPr="0026679F" w14:paraId="1C296792" w14:textId="77777777" w:rsidTr="00171D87">
        <w:trPr>
          <w:trHeight w:val="374"/>
          <w:jc w:val="center"/>
        </w:trPr>
        <w:tc>
          <w:tcPr>
            <w:tcW w:w="14011" w:type="dxa"/>
            <w:gridSpan w:val="5"/>
            <w:tcBorders>
              <w:bottom w:val="single" w:sz="4" w:space="0" w:color="000000"/>
            </w:tcBorders>
            <w:vAlign w:val="center"/>
          </w:tcPr>
          <w:p w14:paraId="7C438797" w14:textId="77777777" w:rsidR="00753AE4" w:rsidRPr="008B5C7B" w:rsidRDefault="00753AE4" w:rsidP="00753AE4">
            <w:pPr>
              <w:pStyle w:val="HSAGTableText"/>
              <w:contextualSpacing/>
            </w:pPr>
            <w:r w:rsidRPr="008B5C7B">
              <w:rPr>
                <w:b/>
              </w:rPr>
              <w:t>HSAG Findings:</w:t>
            </w:r>
            <w:r w:rsidRPr="008B5C7B">
              <w:t xml:space="preserve"> The case file review identified the following opportunities for improvement, which apply to one or more ABD notices in the sample selection:</w:t>
            </w:r>
          </w:p>
          <w:p w14:paraId="45B5B499" w14:textId="77777777" w:rsidR="00753AE4" w:rsidRPr="008B5C7B" w:rsidRDefault="00753AE4" w:rsidP="00753AE4">
            <w:pPr>
              <w:pStyle w:val="HSAGTableText"/>
              <w:numPr>
                <w:ilvl w:val="0"/>
                <w:numId w:val="35"/>
              </w:numPr>
              <w:contextualSpacing/>
            </w:pPr>
            <w:r w:rsidRPr="008B5C7B">
              <w:t xml:space="preserve">The ABD notice did not explain the reason for the ABD and only informed the member that the member did not meet eligibility criteria for services without context as to why and without meaningful information that explained the rationale for the ABD. The PIHP must provide the </w:t>
            </w:r>
            <w:proofErr w:type="gramStart"/>
            <w:r w:rsidRPr="008B5C7B">
              <w:t>member</w:t>
            </w:r>
            <w:proofErr w:type="gramEnd"/>
            <w:r w:rsidRPr="008B5C7B">
              <w:t xml:space="preserve"> with sufficient information as to why service(s) were denied so that the members can make an informed decision about whether to appeal the ABD.</w:t>
            </w:r>
          </w:p>
          <w:p w14:paraId="66DE3E73" w14:textId="77777777" w:rsidR="00753AE4" w:rsidRPr="008B5C7B" w:rsidRDefault="00753AE4" w:rsidP="00753AE4">
            <w:pPr>
              <w:pStyle w:val="HSAGTableText"/>
              <w:numPr>
                <w:ilvl w:val="0"/>
                <w:numId w:val="35"/>
              </w:numPr>
              <w:contextualSpacing/>
            </w:pPr>
            <w:r w:rsidRPr="008B5C7B">
              <w:t xml:space="preserve">The ABD notice included the following narrative: “You do not meet Medicaid eligibility criteria for services as a person with a serious mental illness, a person with a developmental disability, a child with a serious emotional disorder or a person with a substance abuse disorder.” However, this general statement would not apply to every member (e.g., criteria as a person with a serious mental illness [SMI] would be irrelevant to a child, criteria for a child with a serious emotional disorder [SED] would be irrelevant to an adult). </w:t>
            </w:r>
          </w:p>
          <w:p w14:paraId="770EBF0E" w14:textId="77777777" w:rsidR="00753AE4" w:rsidRPr="008B5C7B" w:rsidRDefault="00753AE4" w:rsidP="00753AE4">
            <w:pPr>
              <w:pStyle w:val="HSAGTableText"/>
              <w:numPr>
                <w:ilvl w:val="0"/>
                <w:numId w:val="35"/>
              </w:numPr>
              <w:contextualSpacing/>
            </w:pPr>
            <w:r w:rsidRPr="008B5C7B">
              <w:t xml:space="preserve">The ABD notice included “blanket” citations (i.e., policy/authority relied upon in making the ABD); for example, Sections 330.1100(a–d) of the Michigan Mental Health Code (MMHC), which includes every definition included in the MMHC; Sections 330.1208, 330.1489e, and 330.1705 of the </w:t>
            </w:r>
            <w:r w:rsidRPr="008B5C7B">
              <w:lastRenderedPageBreak/>
              <w:t xml:space="preserve">MMHC; 42 CFR §438.400(b)(1); and Section 2.5.A–D Medical Necessity Criteria under the Michigan Medicaid Provider Manual which were either irrelevant to the case and/or not specifically used to render the ABD. </w:t>
            </w:r>
          </w:p>
          <w:p w14:paraId="0BC470E7" w14:textId="77777777" w:rsidR="00753AE4" w:rsidRPr="008B5C7B" w:rsidRDefault="00753AE4" w:rsidP="00753AE4">
            <w:pPr>
              <w:pStyle w:val="HSAGTableText"/>
              <w:numPr>
                <w:ilvl w:val="0"/>
                <w:numId w:val="35"/>
              </w:numPr>
              <w:contextualSpacing/>
            </w:pPr>
            <w:r w:rsidRPr="008B5C7B">
              <w:t xml:space="preserve">The ABD notice included no citation or the incorrect citation for the policy/authority relied upon in making the ABD. For example: </w:t>
            </w:r>
          </w:p>
          <w:p w14:paraId="0A2C084A" w14:textId="77777777" w:rsidR="00753AE4" w:rsidRPr="008B5C7B" w:rsidRDefault="00753AE4" w:rsidP="00753AE4">
            <w:pPr>
              <w:pStyle w:val="HSAGTableText"/>
              <w:numPr>
                <w:ilvl w:val="0"/>
                <w:numId w:val="36"/>
              </w:numPr>
              <w:contextualSpacing/>
            </w:pPr>
            <w:r w:rsidRPr="008B5C7B">
              <w:t xml:space="preserve">Section 2.5.A–D Medical Necessity Criteria under the Michigan Medicaid Provider Manual was cited as the legal basis for a decision, but the decision to terminate services was not based on medical necessity; rather, services were being terminated because the member was not participating in treatment. The PIHP should have included a citation to the provision that allows the PIHP to terminate services due to a member not attending or participating in services. </w:t>
            </w:r>
          </w:p>
          <w:p w14:paraId="5646C577" w14:textId="77777777" w:rsidR="00753AE4" w:rsidRPr="008B5C7B" w:rsidRDefault="00753AE4" w:rsidP="00753AE4">
            <w:pPr>
              <w:pStyle w:val="HSAGTableText"/>
              <w:numPr>
                <w:ilvl w:val="0"/>
                <w:numId w:val="36"/>
              </w:numPr>
              <w:contextualSpacing/>
            </w:pPr>
            <w:r w:rsidRPr="008B5C7B">
              <w:t xml:space="preserve">The service was denied because the provider failed to submit proof of residency after multiple requests; however, no policy/authority was cited. The PIHP should have included a citation for the </w:t>
            </w:r>
            <w:r>
              <w:t>policy/authority</w:t>
            </w:r>
            <w:r w:rsidRPr="008B5C7B">
              <w:t xml:space="preserve"> that requires services to be provided to members who reside in the PIHP’s service area and/or 42 CFR §438.404(c)(5) for service authorization decisions not reached within the time frame, which constitutes a denial. </w:t>
            </w:r>
          </w:p>
          <w:p w14:paraId="7412441D" w14:textId="77777777" w:rsidR="00753AE4" w:rsidRPr="008B5C7B" w:rsidRDefault="00753AE4" w:rsidP="00753AE4">
            <w:pPr>
              <w:pStyle w:val="HSAGTableText"/>
              <w:numPr>
                <w:ilvl w:val="0"/>
                <w:numId w:val="36"/>
              </w:numPr>
              <w:contextualSpacing/>
            </w:pPr>
            <w:r w:rsidRPr="008B5C7B">
              <w:t xml:space="preserve">Services were denied; however, 42 CFR 438.400(b)(2) “Reduction, suspension, or termination of a previously authorized service” was included as the legal basis for the decision (i.e., services were denied, not terminated, suspended, or reduced). Further, while 42 CFR §438.400(b)(2) references a component of the definition of an ABD related to the termination, suspension, or reduction of a previously authorized service, the federal Medicaid managed care rule that requires advance notice for the termination, suspension, or reduction of a previously authorized service is located under 42 CFR §438.404(c)(1) and 42 CFR §431.211. </w:t>
            </w:r>
          </w:p>
          <w:p w14:paraId="7BCBFD39" w14:textId="77777777" w:rsidR="00753AE4" w:rsidRPr="008B5C7B" w:rsidRDefault="00753AE4" w:rsidP="00753AE4">
            <w:pPr>
              <w:pStyle w:val="HSAGTableText"/>
              <w:numPr>
                <w:ilvl w:val="0"/>
                <w:numId w:val="36"/>
              </w:numPr>
              <w:contextualSpacing/>
            </w:pPr>
            <w:r w:rsidRPr="008B5C7B">
              <w:t xml:space="preserve">The notice cited Sections 8.5.B, 8.5.C, and 8.5.D of the Michigan Medicaid Provider Manual; however, the service being denied was an initial inpatient request for services for a 15-year-old and, therefore, Sections 8.5.B (i.e., inpatient admission criteria for adults) and Sections 8.5.C (i.e., continuing stay criteria) were irrelevant to the denial. </w:t>
            </w:r>
          </w:p>
          <w:p w14:paraId="5BBE7B1A" w14:textId="77777777" w:rsidR="00753AE4" w:rsidRPr="008B5C7B" w:rsidRDefault="00753AE4" w:rsidP="00753AE4">
            <w:pPr>
              <w:pStyle w:val="HSAGTableText"/>
              <w:numPr>
                <w:ilvl w:val="0"/>
                <w:numId w:val="35"/>
              </w:numPr>
              <w:contextualSpacing/>
            </w:pPr>
            <w:r w:rsidRPr="008B5C7B">
              <w:t>The ABD notice included duplicate citations (e.g., referencing 42 CFR §438.400(b)(1), Section 2.5 of the Michigan Medicaid Provider Manual, and Section 330.1100a–d of the MMHC two to three times in the same notice).</w:t>
            </w:r>
          </w:p>
          <w:p w14:paraId="358576FA" w14:textId="77777777" w:rsidR="00753AE4" w:rsidRPr="008B5C7B" w:rsidRDefault="00753AE4" w:rsidP="00753AE4">
            <w:pPr>
              <w:pStyle w:val="HSAGTableText"/>
              <w:numPr>
                <w:ilvl w:val="0"/>
                <w:numId w:val="35"/>
              </w:numPr>
              <w:contextualSpacing/>
            </w:pPr>
            <w:r w:rsidRPr="008B5C7B">
              <w:t xml:space="preserve">The ABD notice and PIHP’s notated explanation (a narrative </w:t>
            </w:r>
            <w:proofErr w:type="gramStart"/>
            <w:r w:rsidRPr="008B5C7B">
              <w:t>entered into</w:t>
            </w:r>
            <w:proofErr w:type="gramEnd"/>
            <w:r w:rsidRPr="008B5C7B">
              <w:t xml:space="preserve"> the ABD for the purposes of this compliance review, rather than the narrative in the ABD notice intended for the member) indicated a lack of understanding of ABDs, extensions, and the failure to render a service authorization decision in a timely manner. The ABD notice informed the </w:t>
            </w:r>
            <w:proofErr w:type="gramStart"/>
            <w:r w:rsidRPr="008B5C7B">
              <w:t>member</w:t>
            </w:r>
            <w:proofErr w:type="gramEnd"/>
            <w:r w:rsidRPr="008B5C7B">
              <w:t xml:space="preserve"> that services were </w:t>
            </w:r>
            <w:r w:rsidRPr="008B5C7B">
              <w:rPr>
                <w:i/>
                <w:iCs/>
              </w:rPr>
              <w:t>delayed</w:t>
            </w:r>
            <w:r w:rsidRPr="008B5C7B">
              <w:t xml:space="preserve">, as the service authorization decision was delayed more than 14 days from the receipt of the service authorization request. However, if the service authorization decision is not made within 14 calendar days, the PIHP must either deny the service (i.e., failure to render a decision in a timely manner constitutes a </w:t>
            </w:r>
            <w:r w:rsidRPr="008B5C7B">
              <w:rPr>
                <w:i/>
                <w:iCs/>
              </w:rPr>
              <w:t>denial</w:t>
            </w:r>
            <w:r w:rsidRPr="008B5C7B">
              <w:t xml:space="preserve"> [not a </w:t>
            </w:r>
            <w:r w:rsidRPr="008B5C7B">
              <w:rPr>
                <w:i/>
                <w:iCs/>
              </w:rPr>
              <w:t>delay</w:t>
            </w:r>
            <w:r w:rsidRPr="008B5C7B">
              <w:t xml:space="preserve">] and thus is an ABD), or extend the time frame an additional 14 calendar days if the criteria are met. Applying an extension is not a delay in services, as extensions are allowable under </w:t>
            </w:r>
            <w:proofErr w:type="gramStart"/>
            <w:r w:rsidRPr="008B5C7B">
              <w:t>federal</w:t>
            </w:r>
            <w:proofErr w:type="gramEnd"/>
            <w:r w:rsidRPr="008B5C7B">
              <w:t xml:space="preserve"> Medicaid managed care rule when in the best interest of the member. Also, the ABD notice cited 42 CFR §438.210(d)(1); however, based on the description (i.e., failure to make a standard service authorization decision and provide notice within 14 calendar days), and if the notice was intended to be issued due to a decision not being made in a timely manner, the appropriate citation would be 42 CFR §438.404(c)(5). The notated explanation indicated that the effective date and narrative in the ABD notice provided the date of an extension, evidence of an extension, and the reason for an extension. However, no evidence was provided to support that an extension was needed or that one was applied, and an ABD notice is an </w:t>
            </w:r>
            <w:r w:rsidRPr="008B5C7B">
              <w:lastRenderedPageBreak/>
              <w:t xml:space="preserve">inappropriate notice to use for an extension, suggesting a misunderstanding of the requirements of extensions versus untimely decisions. Further, services were </w:t>
            </w:r>
            <w:r w:rsidRPr="008B5C7B">
              <w:rPr>
                <w:i/>
                <w:iCs/>
              </w:rPr>
              <w:t>delayed</w:t>
            </w:r>
            <w:r w:rsidRPr="008B5C7B">
              <w:t xml:space="preserve"> (which is not an appropriate ABD for untimely decisions as they should be </w:t>
            </w:r>
            <w:r w:rsidRPr="008B5C7B">
              <w:rPr>
                <w:i/>
                <w:iCs/>
              </w:rPr>
              <w:t>denied</w:t>
            </w:r>
            <w:r w:rsidRPr="008B5C7B">
              <w:t xml:space="preserve">) due to the requested therapist being on medical leave. However, this is an inappropriate reason for an ABD, as ABDs must be rendered based on medical necessity. If the member met medical necessity criteria, the services should have been </w:t>
            </w:r>
            <w:r w:rsidRPr="008B5C7B">
              <w:rPr>
                <w:i/>
                <w:iCs/>
              </w:rPr>
              <w:t>approved</w:t>
            </w:r>
            <w:r w:rsidRPr="008B5C7B">
              <w:t xml:space="preserve">. The member could then be </w:t>
            </w:r>
            <w:proofErr w:type="gramStart"/>
            <w:r w:rsidRPr="008B5C7B">
              <w:t>provided</w:t>
            </w:r>
            <w:proofErr w:type="gramEnd"/>
            <w:r w:rsidRPr="008B5C7B">
              <w:t xml:space="preserve"> options for therapy providers or choose to wait to receive services if the member was only willing to see a certain provider. The PIHP is prohibited from delaying the approval or denial of a service request based on the availability of providers. If </w:t>
            </w:r>
            <w:proofErr w:type="gramStart"/>
            <w:r w:rsidRPr="008B5C7B">
              <w:rPr>
                <w:i/>
                <w:iCs/>
              </w:rPr>
              <w:t>approved</w:t>
            </w:r>
            <w:proofErr w:type="gramEnd"/>
            <w:r w:rsidRPr="008B5C7B">
              <w:t xml:space="preserve"> services are not initiated with 14 calendar days of the start date agreed upon during the person-centered planning meeting and as authorized by the PIHP, the PIHP must then send an ABD notice to inform the member that the service the member has been approved to receive has not started in a timely manner.</w:t>
            </w:r>
          </w:p>
          <w:p w14:paraId="5C322930" w14:textId="77777777" w:rsidR="00753AE4" w:rsidRPr="008B5C7B" w:rsidRDefault="00753AE4" w:rsidP="00753AE4">
            <w:pPr>
              <w:pStyle w:val="HSAGTableText"/>
              <w:numPr>
                <w:ilvl w:val="0"/>
                <w:numId w:val="35"/>
              </w:numPr>
              <w:contextualSpacing/>
            </w:pPr>
            <w:r w:rsidRPr="008B5C7B">
              <w:t xml:space="preserve">The ABD notices included formatting issues, typographical errors, or incorrect information. For example, the notice informed the member that services were reduced when the services were </w:t>
            </w:r>
            <w:proofErr w:type="gramStart"/>
            <w:r w:rsidRPr="008B5C7B">
              <w:t>actually terminated</w:t>
            </w:r>
            <w:proofErr w:type="gramEnd"/>
            <w:r w:rsidRPr="008B5C7B">
              <w:t>; the notice included the incorrect service being denied (i.e., included targeted case management as opposed to autism-related services); the notice was missing punctuation; and/or the notice had spacing/parentheses formatting issues).</w:t>
            </w:r>
          </w:p>
          <w:p w14:paraId="0B630483" w14:textId="77777777" w:rsidR="00753AE4" w:rsidRPr="008B5C7B" w:rsidRDefault="00753AE4" w:rsidP="00753AE4">
            <w:pPr>
              <w:pStyle w:val="HSAGTableText"/>
              <w:numPr>
                <w:ilvl w:val="0"/>
                <w:numId w:val="35"/>
              </w:numPr>
              <w:contextualSpacing/>
            </w:pPr>
            <w:r w:rsidRPr="008B5C7B">
              <w:t xml:space="preserve">The ABD notice included acronyms or abbreviations (e.g., IPOS, NLCMH, PCP, PACE, FAST). While some acronyms or abbreviations are common, the PIHP cannot assume a member would know the meaning. In support of plain language requirements, all acronyms and abbreviations must be spelled out at first use. </w:t>
            </w:r>
          </w:p>
          <w:p w14:paraId="70B0C28B" w14:textId="77777777" w:rsidR="00753AE4" w:rsidRPr="008B5C7B" w:rsidRDefault="00753AE4" w:rsidP="00753AE4">
            <w:pPr>
              <w:pStyle w:val="HSAGTableText"/>
              <w:numPr>
                <w:ilvl w:val="0"/>
                <w:numId w:val="35"/>
              </w:numPr>
              <w:contextualSpacing/>
            </w:pPr>
            <w:r w:rsidRPr="008B5C7B">
              <w:t xml:space="preserve">The reading grade level for most cases was not provided as part of the case files as requested, and for one ABD notice, the reading grade level was above 6.9. No documentation was provided to demonstrate that the PIHP and all its CMHSPs had standardized or consistent processes to check the reading grade level of ABD notices for non-MDHHS template language prior to mailing, and/or that they attempted to reduce the reading grade level, when applicable, prior to mailing. </w:t>
            </w:r>
          </w:p>
          <w:p w14:paraId="48244E19" w14:textId="77777777" w:rsidR="00753AE4" w:rsidRPr="008B5C7B" w:rsidRDefault="00753AE4" w:rsidP="00753AE4">
            <w:pPr>
              <w:pStyle w:val="HSAGTableText"/>
              <w:numPr>
                <w:ilvl w:val="0"/>
                <w:numId w:val="35"/>
              </w:numPr>
              <w:contextualSpacing/>
            </w:pPr>
            <w:r w:rsidRPr="008B5C7B">
              <w:t xml:space="preserve">While continuation of benefits information was included in the advance ABD notices, it did not include the circumstances in which the member may be required to pay for the cost of continued services. However, it should be noted that this language was not included in MDHHS’ model notice applicable during the </w:t>
            </w:r>
            <w:proofErr w:type="gramStart"/>
            <w:r w:rsidRPr="008B5C7B">
              <w:t>time period</w:t>
            </w:r>
            <w:proofErr w:type="gramEnd"/>
            <w:r w:rsidRPr="008B5C7B">
              <w:t xml:space="preserve"> of review. MDHHS’ updated model notice, effective October 1, 2024, includes the required language and remediates this gap.</w:t>
            </w:r>
          </w:p>
          <w:p w14:paraId="33D4FBCF" w14:textId="77777777" w:rsidR="00753AE4" w:rsidRPr="008B5C7B" w:rsidRDefault="00753AE4" w:rsidP="00753AE4">
            <w:pPr>
              <w:pStyle w:val="HSAGTableText"/>
              <w:spacing w:before="120"/>
            </w:pPr>
            <w:r w:rsidRPr="008B5C7B">
              <w:rPr>
                <w:b/>
                <w:bCs/>
              </w:rPr>
              <w:t xml:space="preserve">Recommendations: </w:t>
            </w:r>
          </w:p>
          <w:p w14:paraId="0CCD0F2A" w14:textId="77777777" w:rsidR="00753AE4" w:rsidRPr="008B5C7B" w:rsidRDefault="00753AE4" w:rsidP="00753AE4">
            <w:pPr>
              <w:pStyle w:val="HSAGTableText"/>
              <w:numPr>
                <w:ilvl w:val="0"/>
                <w:numId w:val="35"/>
              </w:numPr>
              <w:contextualSpacing/>
            </w:pPr>
            <w:r w:rsidRPr="008B5C7B">
              <w:t xml:space="preserve">Based on the case file review and discussion with the PIHP, staff do not have the capability to alter text that is populated based on options selected in the system (e.g., service, reason for action, and legal basis for the decision). This limitation is a significant barrier to the PIHP being able to generate professional ABD notices that include meaningful and relevant information and meet plain language requirements (e.g., by being able to remove service codes, simplify the service descriptions, spell out acronyms included in the service description, and remove duplicate citations or those citations not relied on in making the ABD). HSAG recommends that the PIHP consider system enhancements to address these limitations. </w:t>
            </w:r>
          </w:p>
          <w:p w14:paraId="31CB855E" w14:textId="77777777" w:rsidR="00753AE4" w:rsidRPr="008B5C7B" w:rsidRDefault="00753AE4" w:rsidP="00753AE4">
            <w:pPr>
              <w:pStyle w:val="HSAGTableText"/>
              <w:numPr>
                <w:ilvl w:val="0"/>
                <w:numId w:val="35"/>
              </w:numPr>
              <w:contextualSpacing/>
            </w:pPr>
            <w:r w:rsidRPr="008B5C7B">
              <w:t xml:space="preserve">In support of plain language requirements, HSAG recommends that the PIHP simplify the service description in the ABD notices. For example, “90818 Individual therapy, adult or child, 45-50 minutes” or “9083X Individual Therapy 90832, 90834, 90837” could be simply stated as “Individual Therapy.” </w:t>
            </w:r>
          </w:p>
          <w:p w14:paraId="67C82915" w14:textId="77777777" w:rsidR="00753AE4" w:rsidRPr="008B5C7B" w:rsidRDefault="00753AE4" w:rsidP="00753AE4">
            <w:pPr>
              <w:pStyle w:val="HSAGTableText"/>
              <w:numPr>
                <w:ilvl w:val="0"/>
                <w:numId w:val="35"/>
              </w:numPr>
              <w:contextualSpacing/>
            </w:pPr>
            <w:r w:rsidRPr="008B5C7B">
              <w:lastRenderedPageBreak/>
              <w:t xml:space="preserve">HSAG recommends that the PIHP implement a regionwide performance improvement plan to improve the accuracy and/or specificity of the policy/authority included in the ABD notices and relied on in making the ABD. The PIHP should avoid general citations that may support the provisions related to ABDs but were not specifically used by the UM reviewer to support the reason for the ABD. The PIHP should reference the specific review criteria (e.g., service-specific sections of the Michigan Medicaid Provider Manual, internal UM review criteria, Milliman Care Guidelines [MCG], and/or standardized assessment tools). This is particularly important for clinically based ABDs (i.e., based on medical necessity). For ABDs not based on medical necessity, the PIHP may cite process-based criteria (e.g., 42 CFR §438.404[c][5] for service authorization decisions not reached within the time frames, which constitutes a denial; and MDHHS’ </w:t>
            </w:r>
            <w:r w:rsidRPr="008B5C7B">
              <w:rPr>
                <w:i/>
                <w:iCs/>
              </w:rPr>
              <w:t>Appeal and Grievance Resolution Processes Technical Requirement</w:t>
            </w:r>
            <w:r w:rsidRPr="008B5C7B">
              <w:t>, which defines an ABD for untimely service provision as the failure to provide services within 14 calendar days of the start date that was agreed upon during the person-centered planning meeting and as authorized by the PIHP).</w:t>
            </w:r>
          </w:p>
          <w:p w14:paraId="04DD04D7" w14:textId="77777777" w:rsidR="00753AE4" w:rsidRPr="008B5C7B" w:rsidRDefault="00753AE4" w:rsidP="00753AE4">
            <w:pPr>
              <w:pStyle w:val="HSAGTableText"/>
              <w:numPr>
                <w:ilvl w:val="0"/>
                <w:numId w:val="35"/>
              </w:numPr>
              <w:contextualSpacing/>
            </w:pPr>
            <w:bookmarkStart w:id="0" w:name="_Hlk177484690"/>
            <w:r w:rsidRPr="008B5C7B">
              <w:t xml:space="preserve">As MDHHS requires ABD notices to be written at or below the 6.9 reading grade level, the reading grade level of each ABD notice should be documented. HSAG recommends that the PIHP develop a process to ensure that the reading grade level is evaluated for all non-MDHHS model language in ABD notices prior to mailing to members. When the reading grade level is above 6.9, the UM reviewers should make every effort to reduce the reading grade level. As the MDHHS contract with the PIHP stipulates that in some situations it may be necessary to include medications, diagnoses, and conditions that would not meet the 6.9 grade-level criteria, the PIHP could develop criteria for what terminology may be excluded from the reading grade analysis in certain instances. The reading grade level, including exclusions, should be documented along with evidence that the UM reviewer made efforts to reduce the reading grade level </w:t>
            </w:r>
            <w:proofErr w:type="gramStart"/>
            <w:r w:rsidRPr="008B5C7B">
              <w:t>to at</w:t>
            </w:r>
            <w:proofErr w:type="gramEnd"/>
            <w:r w:rsidRPr="008B5C7B">
              <w:t xml:space="preserve"> or below 6.9 to the extent possible.</w:t>
            </w:r>
          </w:p>
          <w:bookmarkEnd w:id="0"/>
          <w:p w14:paraId="2E0F6966" w14:textId="77777777" w:rsidR="00753AE4" w:rsidRPr="008B5C7B" w:rsidRDefault="00753AE4" w:rsidP="00753AE4">
            <w:pPr>
              <w:pStyle w:val="HSAGTableText"/>
              <w:numPr>
                <w:ilvl w:val="0"/>
                <w:numId w:val="35"/>
              </w:numPr>
              <w:contextualSpacing/>
            </w:pPr>
            <w:r w:rsidRPr="008B5C7B">
              <w:t xml:space="preserve">While continuation of benefits information is included in MDHHS’ model notice, MDHHS’ </w:t>
            </w:r>
            <w:r w:rsidRPr="008B5C7B">
              <w:rPr>
                <w:i/>
                <w:iCs/>
              </w:rPr>
              <w:t>Appeal and Grievance Resolution Processes Technical Requirement</w:t>
            </w:r>
            <w:r w:rsidRPr="008B5C7B">
              <w:t xml:space="preserve"> only requires this information for advance notices. HSAG recommends that the PIHP consult with MDHHS to determine if this section should be removed for adequate notices to avoid any potential member confusion since members can only request continuation of services for previously authorized services being terminated, reduced, or suspended (i.e., advance notice).</w:t>
            </w:r>
          </w:p>
          <w:p w14:paraId="204B37DC" w14:textId="77777777" w:rsidR="00753AE4" w:rsidRPr="008B5C7B" w:rsidRDefault="00753AE4" w:rsidP="00753AE4">
            <w:pPr>
              <w:pStyle w:val="HSAGTableText"/>
              <w:numPr>
                <w:ilvl w:val="0"/>
                <w:numId w:val="35"/>
              </w:numPr>
              <w:contextualSpacing/>
            </w:pPr>
            <w:r w:rsidRPr="008B5C7B">
              <w:t xml:space="preserve">The MDHHS </w:t>
            </w:r>
            <w:r w:rsidRPr="008B5C7B">
              <w:rPr>
                <w:i/>
                <w:iCs/>
              </w:rPr>
              <w:t>Appeal and Grievance Resolution Process Technical Requirement</w:t>
            </w:r>
            <w:r w:rsidRPr="008B5C7B">
              <w:t xml:space="preserve"> was last revised on March 31, 2024, and included a revised </w:t>
            </w:r>
            <w:r w:rsidRPr="008B5C7B">
              <w:rPr>
                <w:i/>
                <w:iCs/>
              </w:rPr>
              <w:t>Letter of Adverse Benefit Determination</w:t>
            </w:r>
            <w:r w:rsidRPr="008B5C7B">
              <w:t xml:space="preserve"> model notice that must be implemented no later than October 1, 2024. HSAG recommends that the PIHP ensure that this updated model notice is implemented regionwide no later than the required effective date.</w:t>
            </w:r>
          </w:p>
          <w:p w14:paraId="045FB0DB" w14:textId="77777777" w:rsidR="00753AE4" w:rsidRDefault="00753AE4" w:rsidP="00753AE4">
            <w:pPr>
              <w:pStyle w:val="HSAGTableText"/>
              <w:numPr>
                <w:ilvl w:val="0"/>
                <w:numId w:val="35"/>
              </w:numPr>
              <w:contextualSpacing/>
            </w:pPr>
            <w:r w:rsidRPr="008B5C7B">
              <w:t xml:space="preserve">The </w:t>
            </w:r>
            <w:r w:rsidRPr="008B5C7B">
              <w:rPr>
                <w:i/>
                <w:iCs/>
              </w:rPr>
              <w:t>NMRE Beneficiary Grievance and Appeals Policy</w:t>
            </w:r>
            <w:r w:rsidRPr="008B5C7B">
              <w:t xml:space="preserve"> did not include the requirements of sub-element (d). As such, HSAG recommends that the PIHP update its policy accordingly. </w:t>
            </w:r>
          </w:p>
          <w:p w14:paraId="436F33F7" w14:textId="46B0B6C0" w:rsidR="00753AE4" w:rsidRPr="0026679F" w:rsidRDefault="00753AE4" w:rsidP="00753AE4">
            <w:pPr>
              <w:pStyle w:val="HSAGTableText"/>
              <w:numPr>
                <w:ilvl w:val="0"/>
                <w:numId w:val="35"/>
              </w:numPr>
              <w:contextualSpacing/>
            </w:pPr>
            <w:r w:rsidRPr="008B5C7B">
              <w:t xml:space="preserve">For many sample selections included as part of the file review, the PIHP initially only submitted the ABD notice as evidence. For future compliance reviews, HSAG recommends that the PIHP </w:t>
            </w:r>
            <w:proofErr w:type="gramStart"/>
            <w:r w:rsidRPr="008B5C7B">
              <w:t>enhance</w:t>
            </w:r>
            <w:proofErr w:type="gramEnd"/>
            <w:r w:rsidRPr="008B5C7B">
              <w:t xml:space="preserve"> its processes to ensure that all required evidence is included, such as screenshots of the PIHP’s system to validate all data elements included as part of each case file and outlined in the file review tool. HSAG also recommends that for cases that pertain to a CMHSP, that the PIHP conduct a thorough review of each case file against the file review tool and follow up with the CMHSPs for noted gaps prior to submitting the files for HSAG’s desk review.</w:t>
            </w:r>
          </w:p>
        </w:tc>
      </w:tr>
      <w:tr w:rsidR="00753AE4" w:rsidRPr="0026679F" w14:paraId="1F82D923" w14:textId="77777777" w:rsidTr="00171D87">
        <w:trPr>
          <w:trHeight w:val="374"/>
          <w:jc w:val="center"/>
        </w:trPr>
        <w:tc>
          <w:tcPr>
            <w:tcW w:w="14011" w:type="dxa"/>
            <w:gridSpan w:val="5"/>
            <w:tcBorders>
              <w:top w:val="single" w:sz="4" w:space="0" w:color="000000"/>
              <w:bottom w:val="single" w:sz="4" w:space="0" w:color="auto"/>
            </w:tcBorders>
            <w:vAlign w:val="center"/>
          </w:tcPr>
          <w:p w14:paraId="7B770189" w14:textId="03C47FB0" w:rsidR="00753AE4" w:rsidRPr="0026679F" w:rsidRDefault="00753AE4" w:rsidP="00753AE4">
            <w:pPr>
              <w:pStyle w:val="HSAGTableText"/>
              <w:rPr>
                <w:b/>
              </w:rPr>
            </w:pPr>
            <w:r w:rsidRPr="008B5C7B">
              <w:rPr>
                <w:b/>
              </w:rPr>
              <w:lastRenderedPageBreak/>
              <w:t>Required Actions:</w:t>
            </w:r>
            <w:r w:rsidRPr="008B5C7B">
              <w:t xml:space="preserve"> The PIHP must ensure that each ABD notice </w:t>
            </w:r>
            <w:proofErr w:type="gramStart"/>
            <w:r w:rsidRPr="008B5C7B">
              <w:t>meet</w:t>
            </w:r>
            <w:proofErr w:type="gramEnd"/>
            <w:r w:rsidRPr="008B5C7B">
              <w:t xml:space="preserve"> federal and state-specific content requirements and is written at or below the 6.9 reading grade level.</w:t>
            </w:r>
          </w:p>
        </w:tc>
      </w:tr>
      <w:tr w:rsidR="00AD1772" w:rsidRPr="00D16F05" w14:paraId="59FAAE86"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79D0CAA2" w14:textId="77777777" w:rsidR="00AD1772" w:rsidRPr="00D16F05" w:rsidRDefault="00AD1772" w:rsidP="00171D87">
            <w:pPr>
              <w:pStyle w:val="HSAGTableText"/>
              <w:keepNext/>
              <w:contextualSpacing/>
              <w:rPr>
                <w:b/>
              </w:rPr>
            </w:pPr>
            <w:r>
              <w:rPr>
                <w:b/>
              </w:rPr>
              <w:t>PIHP Corrective Action Plan</w:t>
            </w:r>
          </w:p>
        </w:tc>
      </w:tr>
      <w:tr w:rsidR="00AD1772" w:rsidRPr="00984D92" w14:paraId="63F8D0E2"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1062652" w14:textId="0FFE28B6" w:rsidR="00AD1772" w:rsidRPr="00984D92" w:rsidRDefault="00AD1772" w:rsidP="00171D87">
            <w:pPr>
              <w:pStyle w:val="HSAGTableText"/>
              <w:contextualSpacing/>
              <w:rPr>
                <w:bCs/>
              </w:rPr>
            </w:pPr>
            <w:r>
              <w:rPr>
                <w:b/>
              </w:rPr>
              <w:t>Root Cause Analysis:</w:t>
            </w:r>
            <w:r w:rsidRPr="003F5489">
              <w:rPr>
                <w:bCs/>
              </w:rPr>
              <w:t xml:space="preserve"> </w:t>
            </w:r>
            <w:r w:rsidR="00E856F0">
              <w:rPr>
                <w:bCs/>
              </w:rPr>
              <w:t xml:space="preserve">Lack of knowledge </w:t>
            </w:r>
            <w:r w:rsidR="00A6225E">
              <w:rPr>
                <w:bCs/>
              </w:rPr>
              <w:t>and understanding of the r</w:t>
            </w:r>
            <w:r w:rsidR="00E856F0">
              <w:rPr>
                <w:bCs/>
              </w:rPr>
              <w:t xml:space="preserve">equirements. </w:t>
            </w:r>
          </w:p>
        </w:tc>
      </w:tr>
      <w:tr w:rsidR="00AD1772" w:rsidRPr="00FC2C0F" w14:paraId="4C9A6A87"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B7257AD" w14:textId="6590F251" w:rsidR="00AD1772" w:rsidRPr="00FC2C0F" w:rsidRDefault="00AD1772" w:rsidP="00171D87">
            <w:pPr>
              <w:pStyle w:val="HSAGTableText"/>
              <w:contextualSpacing/>
              <w:rPr>
                <w:bCs/>
              </w:rPr>
            </w:pPr>
            <w:r>
              <w:rPr>
                <w:b/>
              </w:rPr>
              <w:t>PIHP Remediation Plan</w:t>
            </w:r>
            <w:r w:rsidRPr="00B30934">
              <w:rPr>
                <w:b/>
              </w:rPr>
              <w:t>:</w:t>
            </w:r>
            <w:r w:rsidR="00B40E60">
              <w:rPr>
                <w:bCs/>
              </w:rPr>
              <w:t xml:space="preserve"> The NMRE hosted a two-day AB</w:t>
            </w:r>
            <w:r w:rsidR="00C8682B">
              <w:rPr>
                <w:bCs/>
              </w:rPr>
              <w:t xml:space="preserve">D </w:t>
            </w:r>
            <w:r w:rsidR="00E856F0">
              <w:rPr>
                <w:bCs/>
              </w:rPr>
              <w:t xml:space="preserve">regional </w:t>
            </w:r>
            <w:r w:rsidR="00C8682B">
              <w:rPr>
                <w:bCs/>
              </w:rPr>
              <w:t>training</w:t>
            </w:r>
            <w:r w:rsidR="00A6225E">
              <w:rPr>
                <w:bCs/>
              </w:rPr>
              <w:t xml:space="preserve"> </w:t>
            </w:r>
            <w:r w:rsidR="00284A0E">
              <w:rPr>
                <w:bCs/>
              </w:rPr>
              <w:t xml:space="preserve">attended by 100 </w:t>
            </w:r>
            <w:r w:rsidR="00A6225E">
              <w:rPr>
                <w:bCs/>
              </w:rPr>
              <w:t>CMHSP staff</w:t>
            </w:r>
            <w:r w:rsidR="00C8682B">
              <w:rPr>
                <w:bCs/>
              </w:rPr>
              <w:t xml:space="preserve"> in January 202</w:t>
            </w:r>
            <w:r w:rsidR="00E856F0">
              <w:rPr>
                <w:bCs/>
              </w:rPr>
              <w:t>5</w:t>
            </w:r>
            <w:r w:rsidR="00B40E60">
              <w:rPr>
                <w:bCs/>
              </w:rPr>
              <w:t>. Additionally, the N</w:t>
            </w:r>
            <w:r w:rsidR="00C8682B">
              <w:rPr>
                <w:bCs/>
              </w:rPr>
              <w:t xml:space="preserve">MRE will conduct quarterly audits, beginning </w:t>
            </w:r>
            <w:r w:rsidR="00B40E60">
              <w:rPr>
                <w:bCs/>
              </w:rPr>
              <w:t xml:space="preserve">for </w:t>
            </w:r>
            <w:r w:rsidR="00C8682B">
              <w:rPr>
                <w:bCs/>
              </w:rPr>
              <w:t>1</w:t>
            </w:r>
            <w:r w:rsidR="00C8682B" w:rsidRPr="00C8682B">
              <w:rPr>
                <w:bCs/>
                <w:vertAlign w:val="superscript"/>
              </w:rPr>
              <w:t>st</w:t>
            </w:r>
            <w:r w:rsidR="00C8682B">
              <w:rPr>
                <w:bCs/>
              </w:rPr>
              <w:t xml:space="preserve"> quarter FY 2025 for ABD </w:t>
            </w:r>
            <w:r w:rsidR="00B40E60">
              <w:rPr>
                <w:bCs/>
              </w:rPr>
              <w:t>requirements. A</w:t>
            </w:r>
            <w:r w:rsidR="00C8682B">
              <w:rPr>
                <w:bCs/>
              </w:rPr>
              <w:t>nnual</w:t>
            </w:r>
            <w:r w:rsidR="00A6225E">
              <w:rPr>
                <w:bCs/>
              </w:rPr>
              <w:t xml:space="preserve"> </w:t>
            </w:r>
            <w:r w:rsidR="00B40E60">
              <w:rPr>
                <w:bCs/>
              </w:rPr>
              <w:t xml:space="preserve">site </w:t>
            </w:r>
            <w:r w:rsidR="00A6225E">
              <w:rPr>
                <w:bCs/>
              </w:rPr>
              <w:t>monitoring</w:t>
            </w:r>
            <w:r w:rsidR="00E856F0">
              <w:rPr>
                <w:bCs/>
              </w:rPr>
              <w:t xml:space="preserve"> </w:t>
            </w:r>
            <w:r w:rsidR="00B40E60">
              <w:rPr>
                <w:bCs/>
              </w:rPr>
              <w:t xml:space="preserve">will be conducted </w:t>
            </w:r>
            <w:r w:rsidR="00E856F0">
              <w:rPr>
                <w:bCs/>
              </w:rPr>
              <w:t>in FY 2025</w:t>
            </w:r>
            <w:r w:rsidR="00387E84">
              <w:rPr>
                <w:bCs/>
              </w:rPr>
              <w:t xml:space="preserve"> to ensure that</w:t>
            </w:r>
            <w:r w:rsidR="00B40E60">
              <w:rPr>
                <w:bCs/>
              </w:rPr>
              <w:t xml:space="preserve"> regional</w:t>
            </w:r>
            <w:r w:rsidR="00387E84">
              <w:rPr>
                <w:bCs/>
              </w:rPr>
              <w:t xml:space="preserve"> ABD notice</w:t>
            </w:r>
            <w:r w:rsidR="00B40E60">
              <w:rPr>
                <w:bCs/>
              </w:rPr>
              <w:t>s</w:t>
            </w:r>
            <w:r w:rsidR="00387E84">
              <w:rPr>
                <w:bCs/>
              </w:rPr>
              <w:t xml:space="preserve"> me</w:t>
            </w:r>
            <w:r w:rsidR="00B40E60">
              <w:rPr>
                <w:bCs/>
              </w:rPr>
              <w:t>e</w:t>
            </w:r>
            <w:r w:rsidR="00387E84">
              <w:rPr>
                <w:bCs/>
              </w:rPr>
              <w:t xml:space="preserve">t federal and state-specific requirements and </w:t>
            </w:r>
            <w:r w:rsidR="00B40E60">
              <w:rPr>
                <w:bCs/>
              </w:rPr>
              <w:t xml:space="preserve">are </w:t>
            </w:r>
            <w:r w:rsidR="00387E84">
              <w:rPr>
                <w:bCs/>
              </w:rPr>
              <w:t>written at or below 6.9 reading grade level.</w:t>
            </w:r>
            <w:r w:rsidR="00C8682B">
              <w:rPr>
                <w:bCs/>
              </w:rPr>
              <w:t xml:space="preserve"> NMRE</w:t>
            </w:r>
            <w:r w:rsidR="00B40E60">
              <w:rPr>
                <w:bCs/>
              </w:rPr>
              <w:t xml:space="preserve"> staff are</w:t>
            </w:r>
            <w:r w:rsidR="00C8682B">
              <w:rPr>
                <w:bCs/>
              </w:rPr>
              <w:t xml:space="preserve"> participating in </w:t>
            </w:r>
            <w:r w:rsidR="00E856F0">
              <w:rPr>
                <w:bCs/>
              </w:rPr>
              <w:t>statew</w:t>
            </w:r>
            <w:r w:rsidR="00B40E60">
              <w:rPr>
                <w:bCs/>
              </w:rPr>
              <w:t>i</w:t>
            </w:r>
            <w:r w:rsidR="00E856F0">
              <w:rPr>
                <w:bCs/>
              </w:rPr>
              <w:t xml:space="preserve">de </w:t>
            </w:r>
            <w:r w:rsidR="00C8682B">
              <w:rPr>
                <w:bCs/>
              </w:rPr>
              <w:t xml:space="preserve">ABD workgroup with PCE to remediate identified issues. </w:t>
            </w:r>
          </w:p>
        </w:tc>
      </w:tr>
      <w:tr w:rsidR="00A6225E" w:rsidRPr="00FC2C0F" w14:paraId="1BEEFF29"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AF59F59" w14:textId="77C11AB6" w:rsidR="00A6225E" w:rsidRPr="00FC2C0F" w:rsidRDefault="00A6225E" w:rsidP="00A6225E">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A6225E" w:rsidRPr="00FC2C0F" w14:paraId="63CF24ED"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3ABF9BF7" w14:textId="78C2C38A" w:rsidR="00A6225E" w:rsidRPr="00FC2C0F" w:rsidRDefault="00A6225E" w:rsidP="00A6225E">
            <w:pPr>
              <w:pStyle w:val="HSAGTableText"/>
              <w:contextualSpacing/>
              <w:rPr>
                <w:bCs/>
              </w:rPr>
            </w:pPr>
            <w:r w:rsidRPr="00B30934">
              <w:rPr>
                <w:b/>
              </w:rPr>
              <w:t>Timeline:</w:t>
            </w:r>
            <w:r>
              <w:rPr>
                <w:bCs/>
              </w:rPr>
              <w:t xml:space="preserve"> 9/30/2025</w:t>
            </w:r>
          </w:p>
        </w:tc>
      </w:tr>
      <w:tr w:rsidR="00A6225E" w14:paraId="6D60C7B6"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18" w:space="0" w:color="00549E" w:themeColor="text2"/>
            </w:tcBorders>
            <w:shd w:val="clear" w:color="auto" w:fill="F2F2F2" w:themeFill="background1" w:themeFillShade="F2"/>
          </w:tcPr>
          <w:p w14:paraId="1CC87BE8" w14:textId="77777777" w:rsidR="00A6225E" w:rsidRPr="00FC2C0F" w:rsidRDefault="00A6225E" w:rsidP="00A6225E">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18" w:space="0" w:color="00549E" w:themeColor="text2"/>
            </w:tcBorders>
            <w:shd w:val="clear" w:color="auto" w:fill="F2F2F2" w:themeFill="background1" w:themeFillShade="F2"/>
          </w:tcPr>
          <w:p w14:paraId="524624A9" w14:textId="77777777" w:rsidR="00A6225E" w:rsidRPr="00C123EE" w:rsidRDefault="00000000" w:rsidP="00A6225E">
            <w:pPr>
              <w:pStyle w:val="HSAGTableText"/>
              <w:contextualSpacing/>
              <w:rPr>
                <w:bCs/>
              </w:rPr>
            </w:pPr>
            <w:sdt>
              <w:sdtPr>
                <w:rPr>
                  <w:bCs/>
                </w:rPr>
                <w:id w:val="-773792898"/>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Accepted</w:t>
            </w:r>
          </w:p>
          <w:p w14:paraId="67F935C4" w14:textId="77777777" w:rsidR="00A6225E" w:rsidRPr="00C123EE" w:rsidRDefault="00000000" w:rsidP="00A6225E">
            <w:pPr>
              <w:pStyle w:val="HSAGTableText"/>
              <w:contextualSpacing/>
              <w:rPr>
                <w:bCs/>
              </w:rPr>
            </w:pPr>
            <w:sdt>
              <w:sdtPr>
                <w:rPr>
                  <w:bCs/>
                </w:rPr>
                <w:id w:val="-366687355"/>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Accepted </w:t>
            </w:r>
            <w:r w:rsidR="00A6225E">
              <w:rPr>
                <w:bCs/>
              </w:rPr>
              <w:t>W</w:t>
            </w:r>
            <w:r w:rsidR="00A6225E" w:rsidRPr="00C123EE">
              <w:rPr>
                <w:bCs/>
              </w:rPr>
              <w:t>ith Recommendations</w:t>
            </w:r>
          </w:p>
          <w:p w14:paraId="5E90A041" w14:textId="77777777" w:rsidR="00A6225E" w:rsidRDefault="00000000" w:rsidP="00A6225E">
            <w:pPr>
              <w:pStyle w:val="HSAGTableText"/>
              <w:contextualSpacing/>
              <w:rPr>
                <w:b/>
              </w:rPr>
            </w:pPr>
            <w:sdt>
              <w:sdtPr>
                <w:rPr>
                  <w:bCs/>
                </w:rPr>
                <w:id w:val="165372005"/>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Not Accepted</w:t>
            </w:r>
          </w:p>
        </w:tc>
      </w:tr>
      <w:tr w:rsidR="00A6225E" w:rsidRPr="00903F99" w14:paraId="6B36B95D" w14:textId="77777777" w:rsidTr="00753AE4">
        <w:trPr>
          <w:trHeight w:val="374"/>
          <w:jc w:val="center"/>
        </w:trPr>
        <w:tc>
          <w:tcPr>
            <w:tcW w:w="6470" w:type="dxa"/>
            <w:gridSpan w:val="2"/>
            <w:vMerge w:val="restart"/>
          </w:tcPr>
          <w:p w14:paraId="1FFE6C3F" w14:textId="77777777" w:rsidR="00A6225E" w:rsidRPr="008B5C7B" w:rsidRDefault="00A6225E" w:rsidP="00A6225E">
            <w:pPr>
              <w:pStyle w:val="ListNoNum"/>
              <w:rPr>
                <w:iCs/>
                <w:sz w:val="18"/>
                <w:szCs w:val="18"/>
              </w:rPr>
            </w:pPr>
            <w:r w:rsidRPr="008B5C7B">
              <w:rPr>
                <w:spacing w:val="-4"/>
              </w:rPr>
              <w:t>13.</w:t>
            </w:r>
            <w:r w:rsidRPr="008B5C7B">
              <w:rPr>
                <w:spacing w:val="-4"/>
              </w:rPr>
              <w:tab/>
            </w:r>
            <w:r w:rsidRPr="008B5C7B">
              <w:rPr>
                <w:iCs/>
              </w:rPr>
              <w:t>For standard authorization decisions, the PIHP provides notice as expeditiously as the member’s condition requires and within 14 calendar days following receipt of the request for service.</w:t>
            </w:r>
          </w:p>
          <w:p w14:paraId="7E8B8227" w14:textId="77777777" w:rsidR="00A6225E" w:rsidRPr="008B5C7B" w:rsidRDefault="00A6225E" w:rsidP="00A6225E">
            <w:pPr>
              <w:pStyle w:val="HSAGNumbers"/>
              <w:numPr>
                <w:ilvl w:val="0"/>
                <w:numId w:val="0"/>
              </w:numPr>
              <w:ind w:left="360"/>
              <w:contextualSpacing/>
              <w:jc w:val="right"/>
              <w:rPr>
                <w:iCs/>
                <w:sz w:val="18"/>
                <w:szCs w:val="18"/>
              </w:rPr>
            </w:pPr>
          </w:p>
          <w:p w14:paraId="490D0721"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42 CFR §438.210(d)(1)</w:t>
            </w:r>
          </w:p>
          <w:p w14:paraId="13D76BA9"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42 CFR §438.404(c)(3)</w:t>
            </w:r>
          </w:p>
          <w:p w14:paraId="4A49F0BC" w14:textId="77777777" w:rsidR="00A6225E" w:rsidRPr="008B5C7B" w:rsidRDefault="00A6225E" w:rsidP="00A6225E">
            <w:pPr>
              <w:pStyle w:val="HSAGNumbers"/>
              <w:numPr>
                <w:ilvl w:val="0"/>
                <w:numId w:val="0"/>
              </w:numPr>
              <w:ind w:left="360"/>
              <w:contextualSpacing/>
              <w:jc w:val="right"/>
              <w:rPr>
                <w:sz w:val="18"/>
                <w:szCs w:val="18"/>
              </w:rPr>
            </w:pPr>
            <w:r w:rsidRPr="008B5C7B">
              <w:rPr>
                <w:sz w:val="18"/>
                <w:szCs w:val="18"/>
              </w:rPr>
              <w:t>42 CFR §457.1230(d)</w:t>
            </w:r>
          </w:p>
          <w:p w14:paraId="11A53AEF" w14:textId="77777777" w:rsidR="00A6225E" w:rsidRPr="008B5C7B" w:rsidRDefault="00A6225E" w:rsidP="00A6225E">
            <w:pPr>
              <w:pStyle w:val="HSAGNumbers"/>
              <w:numPr>
                <w:ilvl w:val="0"/>
                <w:numId w:val="0"/>
              </w:numPr>
              <w:ind w:left="360"/>
              <w:contextualSpacing/>
              <w:jc w:val="right"/>
              <w:rPr>
                <w:sz w:val="18"/>
                <w:szCs w:val="18"/>
              </w:rPr>
            </w:pPr>
            <w:r w:rsidRPr="008B5C7B">
              <w:rPr>
                <w:sz w:val="18"/>
                <w:szCs w:val="18"/>
              </w:rPr>
              <w:t>42 CFR §457.1260(c)(3)</w:t>
            </w:r>
          </w:p>
          <w:p w14:paraId="0AD2A61D"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Contract Schedule A–1(L)(2)(b)</w:t>
            </w:r>
          </w:p>
          <w:p w14:paraId="4E3B5E5B" w14:textId="77777777" w:rsidR="00A6225E" w:rsidRPr="008B5C7B" w:rsidRDefault="00A6225E" w:rsidP="00A6225E">
            <w:pPr>
              <w:pStyle w:val="HSAGNumbers"/>
              <w:numPr>
                <w:ilvl w:val="0"/>
                <w:numId w:val="0"/>
              </w:numPr>
              <w:contextualSpacing/>
              <w:jc w:val="right"/>
              <w:rPr>
                <w:iCs/>
                <w:sz w:val="18"/>
                <w:szCs w:val="18"/>
              </w:rPr>
            </w:pPr>
            <w:r w:rsidRPr="008B5C7B">
              <w:rPr>
                <w:sz w:val="18"/>
                <w:szCs w:val="18"/>
              </w:rPr>
              <w:t>Appeal and Grievance Resolution Processes Technical Requirement–IV(B)(1)(b)</w:t>
            </w:r>
          </w:p>
          <w:p w14:paraId="34DA72C0" w14:textId="77777777" w:rsidR="00A6225E" w:rsidRPr="00903F99" w:rsidRDefault="00A6225E" w:rsidP="00A6225E">
            <w:pPr>
              <w:pStyle w:val="HSAGTableContracttext"/>
              <w:keepNext/>
              <w:spacing w:before="0" w:after="0"/>
              <w:ind w:left="1440"/>
              <w:contextualSpacing/>
              <w:rPr>
                <w:i w:val="0"/>
                <w:szCs w:val="18"/>
              </w:rPr>
            </w:pPr>
          </w:p>
        </w:tc>
        <w:tc>
          <w:tcPr>
            <w:tcW w:w="6113" w:type="dxa"/>
            <w:gridSpan w:val="2"/>
            <w:shd w:val="clear" w:color="auto" w:fill="FFFFFF" w:themeFill="background1"/>
          </w:tcPr>
          <w:p w14:paraId="569FAF42" w14:textId="77777777" w:rsidR="00A6225E" w:rsidRPr="008B5C7B" w:rsidRDefault="00A6225E" w:rsidP="00A6225E">
            <w:pPr>
              <w:pStyle w:val="HSAGTableText"/>
              <w:contextualSpacing/>
              <w:rPr>
                <w:b/>
                <w:bCs/>
              </w:rPr>
            </w:pPr>
            <w:r w:rsidRPr="008B5C7B">
              <w:rPr>
                <w:b/>
                <w:bCs/>
              </w:rPr>
              <w:t>HSAG Required Evidence:</w:t>
            </w:r>
          </w:p>
          <w:p w14:paraId="47136DE3" w14:textId="77777777" w:rsidR="00A6225E" w:rsidRPr="008B5C7B" w:rsidRDefault="00A6225E" w:rsidP="00A6225E">
            <w:pPr>
              <w:pStyle w:val="HSAGTableText"/>
              <w:numPr>
                <w:ilvl w:val="0"/>
                <w:numId w:val="37"/>
              </w:numPr>
              <w:spacing w:before="0" w:after="0"/>
              <w:contextualSpacing/>
            </w:pPr>
            <w:r w:rsidRPr="008B5C7B">
              <w:t>Policies and procedures</w:t>
            </w:r>
          </w:p>
          <w:p w14:paraId="4F6B816B" w14:textId="77777777" w:rsidR="00A6225E" w:rsidRPr="008B5C7B" w:rsidRDefault="00A6225E" w:rsidP="00A6225E">
            <w:pPr>
              <w:pStyle w:val="HSAGTableText"/>
              <w:numPr>
                <w:ilvl w:val="0"/>
                <w:numId w:val="37"/>
              </w:numPr>
              <w:contextualSpacing/>
            </w:pPr>
            <w:r w:rsidRPr="008B5C7B">
              <w:t>UM program description</w:t>
            </w:r>
          </w:p>
          <w:p w14:paraId="6A50CB8C" w14:textId="77777777" w:rsidR="00A6225E" w:rsidRPr="008B5C7B" w:rsidRDefault="00A6225E" w:rsidP="00A6225E">
            <w:pPr>
              <w:pStyle w:val="HSAGTableText"/>
              <w:numPr>
                <w:ilvl w:val="0"/>
                <w:numId w:val="37"/>
              </w:numPr>
              <w:spacing w:before="0" w:after="0"/>
              <w:contextualSpacing/>
            </w:pPr>
            <w:r w:rsidRPr="008B5C7B">
              <w:t>Tracking and reporting mechanisms</w:t>
            </w:r>
          </w:p>
          <w:p w14:paraId="162936FD" w14:textId="77777777" w:rsidR="00A6225E" w:rsidRDefault="00A6225E" w:rsidP="00A6225E">
            <w:pPr>
              <w:numPr>
                <w:ilvl w:val="0"/>
                <w:numId w:val="37"/>
              </w:numPr>
              <w:spacing w:before="0" w:after="0"/>
              <w:contextualSpacing/>
              <w:textAlignment w:val="baseline"/>
              <w:rPr>
                <w:rFonts w:eastAsia="Times New Roman" w:cs="Times New Roman"/>
                <w:color w:val="000000"/>
                <w:sz w:val="22"/>
              </w:rPr>
            </w:pPr>
            <w:r w:rsidRPr="008B5C7B">
              <w:rPr>
                <w:rFonts w:eastAsia="Times New Roman" w:cs="Times New Roman"/>
                <w:color w:val="000000"/>
                <w:sz w:val="22"/>
              </w:rPr>
              <w:t xml:space="preserve">Service authorization log(s) within the </w:t>
            </w:r>
            <w:proofErr w:type="gramStart"/>
            <w:r w:rsidRPr="008B5C7B">
              <w:rPr>
                <w:rFonts w:eastAsia="Times New Roman" w:cs="Times New Roman"/>
                <w:color w:val="000000"/>
                <w:sz w:val="22"/>
              </w:rPr>
              <w:t>time period</w:t>
            </w:r>
            <w:proofErr w:type="gramEnd"/>
            <w:r w:rsidRPr="008B5C7B">
              <w:rPr>
                <w:rFonts w:eastAsia="Times New Roman" w:cs="Times New Roman"/>
                <w:color w:val="000000"/>
                <w:sz w:val="22"/>
              </w:rPr>
              <w:t xml:space="preserve"> under review</w:t>
            </w:r>
          </w:p>
          <w:p w14:paraId="3B70FD4D" w14:textId="600AB75C" w:rsidR="00A6225E" w:rsidRPr="00753AE4" w:rsidRDefault="00A6225E" w:rsidP="00A6225E">
            <w:pPr>
              <w:numPr>
                <w:ilvl w:val="0"/>
                <w:numId w:val="37"/>
              </w:numPr>
              <w:spacing w:before="0" w:after="0"/>
              <w:contextualSpacing/>
              <w:textAlignment w:val="baseline"/>
              <w:rPr>
                <w:rFonts w:eastAsia="Times New Roman" w:cs="Times New Roman"/>
                <w:color w:val="000000"/>
                <w:sz w:val="22"/>
              </w:rPr>
            </w:pPr>
            <w:r w:rsidRPr="008B5C7B">
              <w:t>HSAG will also use the results of the service authorization denial file review</w:t>
            </w:r>
          </w:p>
        </w:tc>
        <w:tc>
          <w:tcPr>
            <w:tcW w:w="1428" w:type="dxa"/>
            <w:vMerge w:val="restart"/>
            <w:shd w:val="clear" w:color="auto" w:fill="FFFFFF" w:themeFill="background1"/>
          </w:tcPr>
          <w:p w14:paraId="13A2AA32" w14:textId="77777777" w:rsidR="00A6225E" w:rsidRPr="008B5C7B" w:rsidRDefault="00000000" w:rsidP="00A6225E">
            <w:pPr>
              <w:spacing w:before="60" w:after="0"/>
              <w:contextualSpacing/>
              <w:rPr>
                <w:sz w:val="22"/>
              </w:rPr>
            </w:pPr>
            <w:sdt>
              <w:sdtPr>
                <w:rPr>
                  <w:sz w:val="22"/>
                </w:rPr>
                <w:id w:val="-458416238"/>
                <w14:checkbox>
                  <w14:checked w14:val="0"/>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Met</w:t>
            </w:r>
          </w:p>
          <w:p w14:paraId="6267F895" w14:textId="77777777" w:rsidR="00A6225E" w:rsidRPr="008B5C7B" w:rsidRDefault="00000000" w:rsidP="00A6225E">
            <w:pPr>
              <w:spacing w:before="60" w:after="0"/>
              <w:contextualSpacing/>
              <w:rPr>
                <w:sz w:val="22"/>
              </w:rPr>
            </w:pPr>
            <w:sdt>
              <w:sdtPr>
                <w:rPr>
                  <w:sz w:val="22"/>
                </w:rPr>
                <w:id w:val="2026277936"/>
                <w14:checkbox>
                  <w14:checked w14:val="1"/>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Not Met</w:t>
            </w:r>
          </w:p>
          <w:p w14:paraId="49B863B7" w14:textId="77777777" w:rsidR="00A6225E" w:rsidRPr="008B5C7B" w:rsidRDefault="00000000" w:rsidP="00A6225E">
            <w:pPr>
              <w:spacing w:before="60" w:after="0"/>
              <w:contextualSpacing/>
              <w:rPr>
                <w:sz w:val="22"/>
              </w:rPr>
            </w:pPr>
            <w:sdt>
              <w:sdtPr>
                <w:rPr>
                  <w:sz w:val="22"/>
                </w:rPr>
                <w:id w:val="1875497147"/>
                <w14:checkbox>
                  <w14:checked w14:val="0"/>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NA</w:t>
            </w:r>
          </w:p>
          <w:p w14:paraId="78B24CBC" w14:textId="77777777" w:rsidR="00A6225E" w:rsidRPr="00903F99" w:rsidRDefault="00A6225E" w:rsidP="00A6225E">
            <w:pPr>
              <w:spacing w:before="0" w:after="0"/>
              <w:contextualSpacing/>
              <w:rPr>
                <w:sz w:val="22"/>
              </w:rPr>
            </w:pPr>
          </w:p>
        </w:tc>
      </w:tr>
      <w:tr w:rsidR="00A6225E" w:rsidRPr="00903F99" w14:paraId="396248C1" w14:textId="77777777" w:rsidTr="00753AE4">
        <w:trPr>
          <w:trHeight w:val="374"/>
          <w:jc w:val="center"/>
        </w:trPr>
        <w:tc>
          <w:tcPr>
            <w:tcW w:w="6470" w:type="dxa"/>
            <w:gridSpan w:val="2"/>
            <w:vMerge/>
          </w:tcPr>
          <w:p w14:paraId="2D72025F" w14:textId="77777777" w:rsidR="00A6225E" w:rsidRPr="00903F99" w:rsidRDefault="00A6225E" w:rsidP="00A6225E">
            <w:pPr>
              <w:pStyle w:val="HSAGNumbers"/>
              <w:numPr>
                <w:ilvl w:val="0"/>
                <w:numId w:val="17"/>
              </w:numPr>
              <w:spacing w:before="0" w:after="0"/>
              <w:contextualSpacing/>
            </w:pPr>
          </w:p>
        </w:tc>
        <w:tc>
          <w:tcPr>
            <w:tcW w:w="6113" w:type="dxa"/>
            <w:gridSpan w:val="2"/>
            <w:shd w:val="clear" w:color="auto" w:fill="FFFFFF" w:themeFill="background1"/>
          </w:tcPr>
          <w:p w14:paraId="41D6396C" w14:textId="77777777" w:rsidR="00A6225E" w:rsidRPr="008B5C7B" w:rsidRDefault="00A6225E" w:rsidP="00A6225E">
            <w:pPr>
              <w:pStyle w:val="HSAGTableText"/>
              <w:contextualSpacing/>
              <w:rPr>
                <w:b/>
                <w:bCs/>
              </w:rPr>
            </w:pPr>
            <w:r w:rsidRPr="008B5C7B">
              <w:rPr>
                <w:b/>
                <w:bCs/>
              </w:rPr>
              <w:t>Evidence as Submitted by the PIHP:</w:t>
            </w:r>
          </w:p>
          <w:p w14:paraId="5265CB2F" w14:textId="77777777" w:rsidR="00A6225E" w:rsidRPr="008B5C7B" w:rsidRDefault="00A6225E" w:rsidP="00A6225E">
            <w:pPr>
              <w:pStyle w:val="HSAGTableText"/>
              <w:numPr>
                <w:ilvl w:val="0"/>
                <w:numId w:val="38"/>
              </w:numPr>
              <w:contextualSpacing/>
            </w:pPr>
            <w:r w:rsidRPr="008B5C7B">
              <w:t xml:space="preserve">SVI_E13_AVCMH Grievance and Appeals </w:t>
            </w:r>
            <w:proofErr w:type="spellStart"/>
            <w:r w:rsidRPr="008B5C7B">
              <w:t>Process_page</w:t>
            </w:r>
            <w:proofErr w:type="spellEnd"/>
            <w:r w:rsidRPr="008B5C7B">
              <w:t xml:space="preserve"> 5</w:t>
            </w:r>
          </w:p>
          <w:p w14:paraId="2630B9F2" w14:textId="77777777" w:rsidR="00A6225E" w:rsidRPr="008B5C7B" w:rsidRDefault="00A6225E" w:rsidP="00A6225E">
            <w:pPr>
              <w:pStyle w:val="HSAGTableText"/>
              <w:numPr>
                <w:ilvl w:val="0"/>
                <w:numId w:val="38"/>
              </w:numPr>
              <w:contextualSpacing/>
            </w:pPr>
            <w:r w:rsidRPr="008B5C7B">
              <w:t>SVI_E13_CWN Serv Auth Denials Tracking mechanism</w:t>
            </w:r>
          </w:p>
          <w:p w14:paraId="365A33A9" w14:textId="77777777" w:rsidR="00A6225E" w:rsidRPr="008B5C7B" w:rsidRDefault="00A6225E" w:rsidP="00A6225E">
            <w:pPr>
              <w:pStyle w:val="HSAGTableText"/>
              <w:numPr>
                <w:ilvl w:val="0"/>
                <w:numId w:val="38"/>
              </w:numPr>
              <w:contextualSpacing/>
            </w:pPr>
            <w:r w:rsidRPr="008B5C7B">
              <w:t xml:space="preserve">SVI_E13_MDHHS_PIHP_Service Authorization Denials Reporting </w:t>
            </w:r>
            <w:proofErr w:type="spellStart"/>
            <w:r w:rsidRPr="008B5C7B">
              <w:t>Template_Region</w:t>
            </w:r>
            <w:proofErr w:type="spellEnd"/>
            <w:r w:rsidRPr="008B5C7B">
              <w:t xml:space="preserve"> 2_NMRE</w:t>
            </w:r>
          </w:p>
          <w:p w14:paraId="3D7C9D75" w14:textId="77777777" w:rsidR="00A6225E" w:rsidRPr="008B5C7B" w:rsidRDefault="00A6225E" w:rsidP="00A6225E">
            <w:pPr>
              <w:pStyle w:val="HSAGTableText"/>
              <w:numPr>
                <w:ilvl w:val="0"/>
                <w:numId w:val="38"/>
              </w:numPr>
              <w:contextualSpacing/>
            </w:pPr>
            <w:r w:rsidRPr="008B5C7B">
              <w:lastRenderedPageBreak/>
              <w:t>SVI_E13_NL_Service Authorization Denials Reporting Q1 Q2</w:t>
            </w:r>
          </w:p>
          <w:p w14:paraId="70B15AC8" w14:textId="77777777" w:rsidR="00A6225E" w:rsidRPr="008B5C7B" w:rsidRDefault="00A6225E" w:rsidP="00A6225E">
            <w:pPr>
              <w:pStyle w:val="HSAGTableText"/>
              <w:numPr>
                <w:ilvl w:val="0"/>
                <w:numId w:val="38"/>
              </w:numPr>
              <w:contextualSpacing/>
            </w:pPr>
            <w:r w:rsidRPr="008B5C7B">
              <w:t xml:space="preserve">SVI_E13_NLCMHA UM </w:t>
            </w:r>
            <w:proofErr w:type="spellStart"/>
            <w:r w:rsidRPr="008B5C7B">
              <w:t>Plan_page</w:t>
            </w:r>
            <w:proofErr w:type="spellEnd"/>
            <w:r w:rsidRPr="008B5C7B">
              <w:t xml:space="preserve"> 2</w:t>
            </w:r>
          </w:p>
          <w:p w14:paraId="5EF49D38" w14:textId="77777777" w:rsidR="00A6225E" w:rsidRPr="008B5C7B" w:rsidRDefault="00A6225E" w:rsidP="00A6225E">
            <w:pPr>
              <w:pStyle w:val="HSAGTableText"/>
              <w:numPr>
                <w:ilvl w:val="0"/>
                <w:numId w:val="38"/>
              </w:numPr>
              <w:contextualSpacing/>
            </w:pPr>
            <w:r w:rsidRPr="008B5C7B">
              <w:t>SVI_E13_NMRE 14 Day Submission Tracking Evidence</w:t>
            </w:r>
          </w:p>
          <w:p w14:paraId="69406334" w14:textId="77777777" w:rsidR="00A6225E" w:rsidRPr="008B5C7B" w:rsidRDefault="00A6225E" w:rsidP="00A6225E">
            <w:pPr>
              <w:pStyle w:val="HSAGTableText"/>
              <w:numPr>
                <w:ilvl w:val="0"/>
                <w:numId w:val="38"/>
              </w:numPr>
              <w:contextualSpacing/>
            </w:pPr>
            <w:r w:rsidRPr="008B5C7B">
              <w:t xml:space="preserve">SVI_E13_NMRE Beneficiary Grievance and Appeals </w:t>
            </w:r>
            <w:proofErr w:type="spellStart"/>
            <w:r w:rsidRPr="008B5C7B">
              <w:t>Policy_page</w:t>
            </w:r>
            <w:proofErr w:type="spellEnd"/>
            <w:r w:rsidRPr="008B5C7B">
              <w:t xml:space="preserve"> 7 (3.)</w:t>
            </w:r>
          </w:p>
          <w:p w14:paraId="1BA554E3" w14:textId="77777777" w:rsidR="00A6225E" w:rsidRDefault="00A6225E" w:rsidP="00A6225E">
            <w:pPr>
              <w:pStyle w:val="HSAGTableText"/>
              <w:numPr>
                <w:ilvl w:val="0"/>
                <w:numId w:val="38"/>
              </w:numPr>
              <w:contextualSpacing/>
            </w:pPr>
            <w:r w:rsidRPr="008B5C7B">
              <w:t xml:space="preserve">SVI_E13_NMRE Service Authorization </w:t>
            </w:r>
            <w:proofErr w:type="spellStart"/>
            <w:r w:rsidRPr="008B5C7B">
              <w:t>Policy_page</w:t>
            </w:r>
            <w:proofErr w:type="spellEnd"/>
            <w:r w:rsidRPr="008B5C7B">
              <w:t xml:space="preserve"> 2</w:t>
            </w:r>
          </w:p>
          <w:p w14:paraId="09D1CB69" w14:textId="7A5B4CFC" w:rsidR="00A6225E" w:rsidRPr="00903F99" w:rsidRDefault="00A6225E" w:rsidP="00A6225E">
            <w:pPr>
              <w:pStyle w:val="HSAGTableText"/>
              <w:numPr>
                <w:ilvl w:val="0"/>
                <w:numId w:val="38"/>
              </w:numPr>
              <w:contextualSpacing/>
            </w:pPr>
            <w:r w:rsidRPr="008B5C7B">
              <w:t>SVI_E13_NMRE Tracking Evidence</w:t>
            </w:r>
          </w:p>
        </w:tc>
        <w:tc>
          <w:tcPr>
            <w:tcW w:w="1428" w:type="dxa"/>
            <w:vMerge/>
            <w:shd w:val="clear" w:color="auto" w:fill="FFFFFF" w:themeFill="background1"/>
          </w:tcPr>
          <w:p w14:paraId="507526E7" w14:textId="77777777" w:rsidR="00A6225E" w:rsidRPr="00903F99" w:rsidRDefault="00A6225E" w:rsidP="00A6225E">
            <w:pPr>
              <w:spacing w:before="0" w:after="0"/>
              <w:contextualSpacing/>
              <w:rPr>
                <w:sz w:val="22"/>
              </w:rPr>
            </w:pPr>
          </w:p>
        </w:tc>
      </w:tr>
      <w:tr w:rsidR="00A6225E" w:rsidRPr="00903F99" w14:paraId="023C17D3" w14:textId="77777777" w:rsidTr="00171D87">
        <w:trPr>
          <w:trHeight w:val="374"/>
          <w:jc w:val="center"/>
        </w:trPr>
        <w:tc>
          <w:tcPr>
            <w:tcW w:w="14011" w:type="dxa"/>
            <w:gridSpan w:val="5"/>
            <w:vAlign w:val="center"/>
          </w:tcPr>
          <w:p w14:paraId="0A8DEFFB" w14:textId="4D45835A" w:rsidR="00A6225E" w:rsidRPr="00903F99" w:rsidRDefault="00A6225E" w:rsidP="00A6225E">
            <w:pPr>
              <w:pStyle w:val="HSAGTableText"/>
              <w:contextualSpacing/>
            </w:pPr>
            <w:r w:rsidRPr="008B5C7B">
              <w:rPr>
                <w:rStyle w:val="normaltextrun"/>
                <w:b/>
                <w:bCs/>
                <w:color w:val="000000"/>
                <w:shd w:val="clear" w:color="auto" w:fill="FFFFFF"/>
              </w:rPr>
              <w:t>PIHP Description of Process:</w:t>
            </w:r>
            <w:r w:rsidRPr="008B5C7B">
              <w:rPr>
                <w:rStyle w:val="normaltextrun"/>
                <w:color w:val="000000"/>
                <w:shd w:val="clear" w:color="auto" w:fill="FFFFFF"/>
              </w:rPr>
              <w:t xml:space="preserve"> NMRE implemented authorization date countdown within PCE/Recon system </w:t>
            </w:r>
            <w:proofErr w:type="gramStart"/>
            <w:r w:rsidRPr="008B5C7B">
              <w:rPr>
                <w:rStyle w:val="normaltextrun"/>
                <w:color w:val="000000"/>
                <w:shd w:val="clear" w:color="auto" w:fill="FFFFFF"/>
              </w:rPr>
              <w:t>in order to</w:t>
            </w:r>
            <w:proofErr w:type="gramEnd"/>
            <w:r w:rsidRPr="008B5C7B">
              <w:rPr>
                <w:rStyle w:val="normaltextrun"/>
                <w:color w:val="000000"/>
                <w:shd w:val="clear" w:color="auto" w:fill="FFFFFF"/>
              </w:rPr>
              <w:t xml:space="preserve"> complete approvals / denials in timely fashion. </w:t>
            </w:r>
            <w:r w:rsidRPr="008B5C7B">
              <w:rPr>
                <w:rStyle w:val="eop"/>
                <w:color w:val="000000"/>
                <w:shd w:val="clear" w:color="auto" w:fill="FFFFFF"/>
              </w:rPr>
              <w:t> </w:t>
            </w:r>
          </w:p>
        </w:tc>
      </w:tr>
      <w:tr w:rsidR="00A6225E" w:rsidRPr="0026679F" w14:paraId="5601F6D7" w14:textId="77777777" w:rsidTr="00171D87">
        <w:trPr>
          <w:trHeight w:val="374"/>
          <w:jc w:val="center"/>
        </w:trPr>
        <w:tc>
          <w:tcPr>
            <w:tcW w:w="14011" w:type="dxa"/>
            <w:gridSpan w:val="5"/>
            <w:tcBorders>
              <w:bottom w:val="single" w:sz="4" w:space="0" w:color="000000"/>
            </w:tcBorders>
            <w:vAlign w:val="center"/>
          </w:tcPr>
          <w:p w14:paraId="7ECCF912" w14:textId="77777777" w:rsidR="00A6225E" w:rsidRPr="008B5C7B" w:rsidRDefault="00A6225E" w:rsidP="00A6225E">
            <w:pPr>
              <w:pStyle w:val="HSAGTableText"/>
              <w:contextualSpacing/>
            </w:pPr>
            <w:r w:rsidRPr="008B5C7B">
              <w:rPr>
                <w:b/>
              </w:rPr>
              <w:t>HSAG Findings:</w:t>
            </w:r>
            <w:r w:rsidRPr="008B5C7B">
              <w:t xml:space="preserve"> The MDHHS denials reporting template identified multiple standard service authorizations that were not completed within 14 calendar days. Additionally, the initiation date and the resolution date reported were the same for many of the cases listed in the universe file and </w:t>
            </w:r>
            <w:proofErr w:type="gramStart"/>
            <w:r w:rsidRPr="008B5C7B">
              <w:t>the majority of</w:t>
            </w:r>
            <w:proofErr w:type="gramEnd"/>
            <w:r w:rsidRPr="008B5C7B">
              <w:t xml:space="preserve"> the cases in the sample selection. However, the documentation included with the case files did not validate the initiation date in the universe file. For example, the initial request for services was reported as December 4, 2023, in the universe file, but the documentation in the case file indicated that the initial request for services occurred November 13, 2023. As the ABD notice was not mailed until December 4, 2023 (21 calendar days later), this case was not completed in a timely manner. In another example, the initial request for home-based services was reported as October 18, 2023, in the universe file. However, only the ABD notice and a crisis plan, both dated October 18, 2023, were included as part of the case file. As there was no mention of a request for home-based services in the crisis plan and no other documentation was provided, the initial request for services could not be confirmed; therefore, timeliness could also not be confirmed. Neither of these cases were located on the </w:t>
            </w:r>
            <w:proofErr w:type="gramStart"/>
            <w:r w:rsidRPr="008B5C7B">
              <w:t>MDHHS denials</w:t>
            </w:r>
            <w:proofErr w:type="gramEnd"/>
            <w:r w:rsidRPr="008B5C7B">
              <w:t xml:space="preserve"> reporting template despite being reported in the universe file as a pre-service denial (i.e., with adequate notice), which suggests concerns with the accuracy of the data being reported to MDHHS. Lastly, turnaround times (TATs) on the MDHHS denials reporting template were reported in negative numbers, further indicating data discrepancies. In review of the times entered for these cases, it is possible AM was documented and/or reported instead of PM on the resolution date.</w:t>
            </w:r>
          </w:p>
          <w:p w14:paraId="566AB080" w14:textId="187C1E87" w:rsidR="00A6225E" w:rsidRPr="0026679F" w:rsidRDefault="00A6225E" w:rsidP="00A6225E">
            <w:pPr>
              <w:pStyle w:val="HSAGTableText"/>
              <w:spacing w:before="0"/>
            </w:pPr>
            <w:r w:rsidRPr="008B5C7B">
              <w:rPr>
                <w:b/>
                <w:bCs/>
              </w:rPr>
              <w:t>Recommendations:</w:t>
            </w:r>
            <w:r w:rsidRPr="008B5C7B">
              <w:t xml:space="preserve"> The PIHP implemented a TAT countdown tracking mechanism in its system. While the PIHP shared this system capability with its CMHSPs, the CMHSPs have not implemented a similar process. HSAG recommends that the PIHP consider requiring reach CMHSPs to upgrade their systems to include the TAT countdown tracking mechanism as a best practice. Additionally, HSAG recommends that the PIHP review the requirements under 42 CFR §438.210(d)(1), effective for rating periods on or after January 1, 2026, which requires that each standard service authorization decision, and notice to member, be completed with seven calendar days after receiving the request for services. This is a significant change from the current 14</w:t>
            </w:r>
            <w:r w:rsidRPr="008B5C7B">
              <w:noBreakHyphen/>
              <w:t xml:space="preserve">calendar-day requirement. HSAG recommends that the PIHP consult with MDHHS as it prepares to implement the new seven-calendar-day time frame for resolving standard service authorizations decisions. Currently, members contact the PIHP (i.e., via the access center) requesting services, which starts the process of determining whether the member is eligible for services and what services are medically necessary. As the PIHP has 14 calendar days to complete a </w:t>
            </w:r>
            <w:r w:rsidRPr="008B5C7B">
              <w:lastRenderedPageBreak/>
              <w:t>biopsychosocial (BPS) assessment used to determine the member’s service needs, the PIHP will have significant challenges in meeting the new seven</w:t>
            </w:r>
            <w:r w:rsidRPr="008B5C7B">
              <w:noBreakHyphen/>
              <w:t>calendar-day standard. The PIHP should request guidance from MDHHS as to whether the expectation is that service authorizations are either approved or denied within seven days of the member’s initial request for services (i.e., via the access center) or if services should be approved or denied once the member’s service array has been identified; meaning, the BPS assessment is completed with 14 calendar days and the case manager develops the IPOS that identifies the member’s specific service needs, and then submits the service authorization request to UM, where UM staff members then have seven calendar days to review the request, apply criteria, and render a decision to approval or deny the request for services. Further, 42 CFR §438.210(f) will also require public reporting on prior authorization data</w:t>
            </w:r>
            <w:r>
              <w:t xml:space="preserve"> beginning January 1, 2026</w:t>
            </w:r>
            <w:r w:rsidRPr="008B5C7B">
              <w:t xml:space="preserve">, which is more than what MDHHS currently requires to be reported. HSAG recommends that the PIHP immediately begin planning to implement these new requirements </w:t>
            </w:r>
            <w:r>
              <w:t xml:space="preserve">and make all necessary system enhancements </w:t>
            </w:r>
            <w:r w:rsidRPr="008B5C7B">
              <w:t>to ensure compliance by the effective date. The PIHP should also consult with MDHHS on these new requirements and the implications for the service authorization quarterly reporting requirements (e.g., will the reporting requirements and reporting template be revised?). This recommendation applies to Elements 13, 14, and 15.</w:t>
            </w:r>
          </w:p>
        </w:tc>
      </w:tr>
      <w:tr w:rsidR="00A6225E" w:rsidRPr="0026679F" w14:paraId="3393F6AB" w14:textId="77777777" w:rsidTr="00171D87">
        <w:trPr>
          <w:trHeight w:val="374"/>
          <w:jc w:val="center"/>
        </w:trPr>
        <w:tc>
          <w:tcPr>
            <w:tcW w:w="14011" w:type="dxa"/>
            <w:gridSpan w:val="5"/>
            <w:tcBorders>
              <w:top w:val="single" w:sz="4" w:space="0" w:color="000000"/>
              <w:bottom w:val="single" w:sz="4" w:space="0" w:color="auto"/>
            </w:tcBorders>
            <w:vAlign w:val="center"/>
          </w:tcPr>
          <w:p w14:paraId="24678CDE" w14:textId="6CABE59A" w:rsidR="00A6225E" w:rsidRPr="0026679F" w:rsidRDefault="00A6225E" w:rsidP="00A6225E">
            <w:pPr>
              <w:pStyle w:val="HSAGTableText"/>
              <w:rPr>
                <w:b/>
              </w:rPr>
            </w:pPr>
            <w:r w:rsidRPr="008B5C7B">
              <w:rPr>
                <w:b/>
              </w:rPr>
              <w:lastRenderedPageBreak/>
              <w:t>Required Actions:</w:t>
            </w:r>
            <w:r w:rsidRPr="008B5C7B">
              <w:t xml:space="preserve"> For standard authorization decisions, the PIHP must provide notice as expeditiously as the member’s condition requires and within 14 calendar days following receipt of the request for service.</w:t>
            </w:r>
          </w:p>
        </w:tc>
      </w:tr>
      <w:tr w:rsidR="00A6225E" w:rsidRPr="00D16F05" w14:paraId="712E6998"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4E6AC5AD" w14:textId="77777777" w:rsidR="00A6225E" w:rsidRPr="00D16F05" w:rsidRDefault="00A6225E" w:rsidP="00A6225E">
            <w:pPr>
              <w:pStyle w:val="HSAGTableText"/>
              <w:keepNext/>
              <w:contextualSpacing/>
              <w:rPr>
                <w:b/>
              </w:rPr>
            </w:pPr>
            <w:r>
              <w:rPr>
                <w:b/>
              </w:rPr>
              <w:t>PIHP Corrective Action Plan</w:t>
            </w:r>
          </w:p>
        </w:tc>
      </w:tr>
      <w:tr w:rsidR="00A6225E" w:rsidRPr="00984D92" w14:paraId="3A013201"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1C95CDB4" w14:textId="15D16849" w:rsidR="00A6225E" w:rsidRPr="00984D92" w:rsidRDefault="00A6225E" w:rsidP="00A6225E">
            <w:pPr>
              <w:pStyle w:val="HSAGTableText"/>
              <w:contextualSpacing/>
              <w:rPr>
                <w:bCs/>
              </w:rPr>
            </w:pPr>
            <w:r>
              <w:rPr>
                <w:b/>
              </w:rPr>
              <w:t>Root Cause Analysis:</w:t>
            </w:r>
            <w:r w:rsidRPr="003F5489">
              <w:rPr>
                <w:bCs/>
              </w:rPr>
              <w:t xml:space="preserve"> </w:t>
            </w:r>
            <w:r>
              <w:rPr>
                <w:bCs/>
              </w:rPr>
              <w:t>Lack of knowledge and education of requirements</w:t>
            </w:r>
          </w:p>
        </w:tc>
      </w:tr>
      <w:tr w:rsidR="00A6225E" w:rsidRPr="00FC2C0F" w14:paraId="18E13078"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AE8325E" w14:textId="4B6C7993" w:rsidR="00A6225E" w:rsidRPr="00FC2C0F" w:rsidRDefault="00A6225E" w:rsidP="00A6225E">
            <w:pPr>
              <w:pStyle w:val="HSAGTableText"/>
              <w:contextualSpacing/>
              <w:rPr>
                <w:bCs/>
              </w:rPr>
            </w:pPr>
            <w:r>
              <w:rPr>
                <w:b/>
              </w:rPr>
              <w:t>PIHP Remediation Plan</w:t>
            </w:r>
            <w:r w:rsidRPr="00B30934">
              <w:rPr>
                <w:b/>
              </w:rPr>
              <w:t>:</w:t>
            </w:r>
            <w:r>
              <w:rPr>
                <w:bCs/>
              </w:rPr>
              <w:t xml:space="preserve"> </w:t>
            </w:r>
            <w:r w:rsidR="00B40E60">
              <w:rPr>
                <w:bCs/>
              </w:rPr>
              <w:t xml:space="preserve">The NMRE hosted a two-day ABD regional </w:t>
            </w:r>
            <w:proofErr w:type="gramStart"/>
            <w:r w:rsidR="00B40E60">
              <w:rPr>
                <w:bCs/>
              </w:rPr>
              <w:t>training</w:t>
            </w:r>
            <w:proofErr w:type="gramEnd"/>
            <w:r w:rsidR="00B40E60">
              <w:rPr>
                <w:bCs/>
              </w:rPr>
              <w:t xml:space="preserve"> </w:t>
            </w:r>
            <w:r w:rsidR="00284A0E">
              <w:rPr>
                <w:bCs/>
              </w:rPr>
              <w:t xml:space="preserve">attended </w:t>
            </w:r>
            <w:r w:rsidR="00B40E60">
              <w:rPr>
                <w:bCs/>
              </w:rPr>
              <w:t>CMHSP staff in January 2025. Additionally, the NMRE will conduct quarterly audits, beginning for 1</w:t>
            </w:r>
            <w:r w:rsidR="00B40E60" w:rsidRPr="00C8682B">
              <w:rPr>
                <w:bCs/>
                <w:vertAlign w:val="superscript"/>
              </w:rPr>
              <w:t>st</w:t>
            </w:r>
            <w:r w:rsidR="00B40E60">
              <w:rPr>
                <w:bCs/>
              </w:rPr>
              <w:t xml:space="preserve"> quarter FY 2025 for ABD requirements. Annual site monitoring will be conducted in FY 2025 to ensure that notice is p</w:t>
            </w:r>
            <w:r w:rsidR="00576CFC">
              <w:rPr>
                <w:bCs/>
              </w:rPr>
              <w:t xml:space="preserve">rovided as expeditiously as the member’s condition requires and within 14 calendar days following receipt of the request for service. </w:t>
            </w:r>
            <w:r w:rsidR="00B40E60">
              <w:rPr>
                <w:bCs/>
              </w:rPr>
              <w:t xml:space="preserve"> NMRE staff are participating in statewide ABD workgroup with PCE to remediate identified issues.</w:t>
            </w:r>
          </w:p>
        </w:tc>
      </w:tr>
      <w:tr w:rsidR="00387E84" w:rsidRPr="00FC2C0F" w14:paraId="1E08D4B8"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120D29CA" w14:textId="191911F7" w:rsidR="00387E84" w:rsidRPr="00FC2C0F" w:rsidRDefault="00387E84" w:rsidP="00387E84">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A6225E" w:rsidRPr="00FC2C0F" w14:paraId="3C2BB3F3"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53D5625F" w14:textId="3BEC4739" w:rsidR="00A6225E" w:rsidRPr="00FC2C0F" w:rsidRDefault="00A6225E" w:rsidP="00A6225E">
            <w:pPr>
              <w:pStyle w:val="HSAGTableText"/>
              <w:contextualSpacing/>
              <w:rPr>
                <w:bCs/>
              </w:rPr>
            </w:pPr>
            <w:r w:rsidRPr="00B30934">
              <w:rPr>
                <w:b/>
              </w:rPr>
              <w:t>Timeline:</w:t>
            </w:r>
            <w:r>
              <w:rPr>
                <w:bCs/>
              </w:rPr>
              <w:t xml:space="preserve"> 9/30/25</w:t>
            </w:r>
          </w:p>
        </w:tc>
      </w:tr>
      <w:tr w:rsidR="00A6225E" w14:paraId="5FEF45B9"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18" w:space="0" w:color="00549E" w:themeColor="text2"/>
            </w:tcBorders>
            <w:shd w:val="clear" w:color="auto" w:fill="F2F2F2" w:themeFill="background1" w:themeFillShade="F2"/>
          </w:tcPr>
          <w:p w14:paraId="73A33828" w14:textId="77777777" w:rsidR="00A6225E" w:rsidRPr="00FC2C0F" w:rsidRDefault="00A6225E" w:rsidP="00A6225E">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18" w:space="0" w:color="00549E" w:themeColor="text2"/>
            </w:tcBorders>
            <w:shd w:val="clear" w:color="auto" w:fill="F2F2F2" w:themeFill="background1" w:themeFillShade="F2"/>
          </w:tcPr>
          <w:p w14:paraId="57AE504A" w14:textId="77777777" w:rsidR="00A6225E" w:rsidRPr="00C123EE" w:rsidRDefault="00000000" w:rsidP="00A6225E">
            <w:pPr>
              <w:pStyle w:val="HSAGTableText"/>
              <w:contextualSpacing/>
              <w:rPr>
                <w:bCs/>
              </w:rPr>
            </w:pPr>
            <w:sdt>
              <w:sdtPr>
                <w:rPr>
                  <w:bCs/>
                </w:rPr>
                <w:id w:val="1624652018"/>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Accepted</w:t>
            </w:r>
          </w:p>
          <w:p w14:paraId="554B072A" w14:textId="77777777" w:rsidR="00A6225E" w:rsidRPr="00C123EE" w:rsidRDefault="00000000" w:rsidP="00A6225E">
            <w:pPr>
              <w:pStyle w:val="HSAGTableText"/>
              <w:contextualSpacing/>
              <w:rPr>
                <w:bCs/>
              </w:rPr>
            </w:pPr>
            <w:sdt>
              <w:sdtPr>
                <w:rPr>
                  <w:bCs/>
                </w:rPr>
                <w:id w:val="-592396557"/>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Accepted </w:t>
            </w:r>
            <w:r w:rsidR="00A6225E">
              <w:rPr>
                <w:bCs/>
              </w:rPr>
              <w:t>W</w:t>
            </w:r>
            <w:r w:rsidR="00A6225E" w:rsidRPr="00C123EE">
              <w:rPr>
                <w:bCs/>
              </w:rPr>
              <w:t>ith Recommendations</w:t>
            </w:r>
          </w:p>
          <w:p w14:paraId="3A5EBFC2" w14:textId="77777777" w:rsidR="00A6225E" w:rsidRDefault="00000000" w:rsidP="00A6225E">
            <w:pPr>
              <w:pStyle w:val="HSAGTableText"/>
              <w:contextualSpacing/>
              <w:rPr>
                <w:b/>
              </w:rPr>
            </w:pPr>
            <w:sdt>
              <w:sdtPr>
                <w:rPr>
                  <w:bCs/>
                </w:rPr>
                <w:id w:val="-495801436"/>
                <w14:checkbox>
                  <w14:checked w14:val="0"/>
                  <w14:checkedState w14:val="2612" w14:font="MS Gothic"/>
                  <w14:uncheckedState w14:val="2610" w14:font="MS Gothic"/>
                </w14:checkbox>
              </w:sdtPr>
              <w:sdtContent>
                <w:r w:rsidR="00A6225E" w:rsidRPr="00C123EE">
                  <w:rPr>
                    <w:rFonts w:ascii="MS Gothic" w:eastAsia="MS Gothic" w:hAnsi="MS Gothic" w:hint="eastAsia"/>
                    <w:bCs/>
                  </w:rPr>
                  <w:t>☐</w:t>
                </w:r>
              </w:sdtContent>
            </w:sdt>
            <w:r w:rsidR="00A6225E" w:rsidRPr="00C123EE">
              <w:rPr>
                <w:bCs/>
              </w:rPr>
              <w:t xml:space="preserve"> Not Accepted</w:t>
            </w:r>
          </w:p>
        </w:tc>
      </w:tr>
      <w:tr w:rsidR="00A6225E" w:rsidRPr="00903F99" w14:paraId="15D4D78B" w14:textId="77777777" w:rsidTr="00753AE4">
        <w:trPr>
          <w:trHeight w:val="374"/>
          <w:jc w:val="center"/>
        </w:trPr>
        <w:tc>
          <w:tcPr>
            <w:tcW w:w="6470" w:type="dxa"/>
            <w:gridSpan w:val="2"/>
            <w:vMerge w:val="restart"/>
          </w:tcPr>
          <w:p w14:paraId="1BF0DBFA" w14:textId="77777777" w:rsidR="00A6225E" w:rsidRPr="008B5C7B" w:rsidRDefault="00A6225E" w:rsidP="00A6225E">
            <w:pPr>
              <w:pStyle w:val="ListNoNum"/>
              <w:rPr>
                <w:iCs/>
                <w:sz w:val="18"/>
                <w:szCs w:val="18"/>
              </w:rPr>
            </w:pPr>
            <w:r w:rsidRPr="008B5C7B">
              <w:rPr>
                <w:spacing w:val="-4"/>
              </w:rPr>
              <w:t>14.</w:t>
            </w:r>
            <w:r w:rsidRPr="008B5C7B">
              <w:rPr>
                <w:spacing w:val="-4"/>
              </w:rPr>
              <w:tab/>
            </w:r>
            <w:r w:rsidRPr="008B5C7B">
              <w:rPr>
                <w:iCs/>
              </w:rPr>
              <w:t xml:space="preserve">For cases in which a provider indicates, or the PIHP determines, that following the standard time frame could seriously jeopardize the member’s life or health or ability to attain, maintain, or regain </w:t>
            </w:r>
            <w:r w:rsidRPr="008B5C7B">
              <w:rPr>
                <w:iCs/>
              </w:rPr>
              <w:lastRenderedPageBreak/>
              <w:t>maximum function, the PIHP must make an expedited authorization decision and provide notice as expeditiously as the member’s health condition requires and no later than 72 hours after receipt of the request for service.</w:t>
            </w:r>
          </w:p>
          <w:p w14:paraId="0233C451" w14:textId="77777777" w:rsidR="00A6225E" w:rsidRPr="008B5C7B" w:rsidRDefault="00A6225E" w:rsidP="00A6225E">
            <w:pPr>
              <w:pStyle w:val="HSAGNumbers"/>
              <w:numPr>
                <w:ilvl w:val="0"/>
                <w:numId w:val="0"/>
              </w:numPr>
              <w:ind w:left="360"/>
              <w:contextualSpacing/>
              <w:jc w:val="right"/>
              <w:rPr>
                <w:iCs/>
                <w:sz w:val="18"/>
                <w:szCs w:val="18"/>
              </w:rPr>
            </w:pPr>
          </w:p>
          <w:p w14:paraId="16FEF746"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42 CFR §438.210(d)(2)(</w:t>
            </w:r>
            <w:proofErr w:type="spellStart"/>
            <w:r w:rsidRPr="008B5C7B">
              <w:rPr>
                <w:iCs/>
                <w:sz w:val="18"/>
                <w:szCs w:val="18"/>
              </w:rPr>
              <w:t>i</w:t>
            </w:r>
            <w:proofErr w:type="spellEnd"/>
            <w:r w:rsidRPr="008B5C7B">
              <w:rPr>
                <w:iCs/>
                <w:sz w:val="18"/>
                <w:szCs w:val="18"/>
              </w:rPr>
              <w:t>)</w:t>
            </w:r>
          </w:p>
          <w:p w14:paraId="4E60F37A"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42 CFR §438.404(c)(6)</w:t>
            </w:r>
          </w:p>
          <w:p w14:paraId="78695EE4" w14:textId="77777777" w:rsidR="00A6225E" w:rsidRPr="008B5C7B" w:rsidRDefault="00A6225E" w:rsidP="00A6225E">
            <w:pPr>
              <w:pStyle w:val="HSAGNumbers"/>
              <w:numPr>
                <w:ilvl w:val="0"/>
                <w:numId w:val="0"/>
              </w:numPr>
              <w:ind w:left="360"/>
              <w:contextualSpacing/>
              <w:jc w:val="right"/>
              <w:rPr>
                <w:sz w:val="18"/>
                <w:szCs w:val="18"/>
              </w:rPr>
            </w:pPr>
            <w:r w:rsidRPr="008B5C7B">
              <w:rPr>
                <w:sz w:val="18"/>
                <w:szCs w:val="18"/>
              </w:rPr>
              <w:t>42 CFR §457.1230(d)</w:t>
            </w:r>
          </w:p>
          <w:p w14:paraId="7D6A4D48" w14:textId="77777777" w:rsidR="00A6225E" w:rsidRPr="008B5C7B" w:rsidRDefault="00A6225E" w:rsidP="00A6225E">
            <w:pPr>
              <w:pStyle w:val="HSAGNumbers"/>
              <w:numPr>
                <w:ilvl w:val="0"/>
                <w:numId w:val="0"/>
              </w:numPr>
              <w:ind w:left="360"/>
              <w:contextualSpacing/>
              <w:jc w:val="right"/>
              <w:rPr>
                <w:sz w:val="18"/>
                <w:szCs w:val="18"/>
              </w:rPr>
            </w:pPr>
            <w:r w:rsidRPr="008B5C7B">
              <w:rPr>
                <w:sz w:val="18"/>
                <w:szCs w:val="18"/>
              </w:rPr>
              <w:t>42 CFR §457.1260(c)(3)</w:t>
            </w:r>
          </w:p>
          <w:p w14:paraId="7223B81E" w14:textId="77777777" w:rsidR="00A6225E" w:rsidRPr="008B5C7B" w:rsidRDefault="00A6225E" w:rsidP="00A6225E">
            <w:pPr>
              <w:pStyle w:val="HSAGNumbers"/>
              <w:numPr>
                <w:ilvl w:val="0"/>
                <w:numId w:val="0"/>
              </w:numPr>
              <w:ind w:left="360"/>
              <w:contextualSpacing/>
              <w:jc w:val="right"/>
              <w:rPr>
                <w:iCs/>
                <w:sz w:val="18"/>
                <w:szCs w:val="18"/>
              </w:rPr>
            </w:pPr>
            <w:r w:rsidRPr="008B5C7B">
              <w:rPr>
                <w:iCs/>
                <w:sz w:val="18"/>
                <w:szCs w:val="18"/>
              </w:rPr>
              <w:t>Contract Schedule A–1(L)(2)(b)</w:t>
            </w:r>
          </w:p>
          <w:p w14:paraId="5F5B4591" w14:textId="77777777" w:rsidR="00A6225E" w:rsidRPr="008B5C7B" w:rsidRDefault="00A6225E" w:rsidP="00A6225E">
            <w:pPr>
              <w:pStyle w:val="HSAGNumbers"/>
              <w:numPr>
                <w:ilvl w:val="0"/>
                <w:numId w:val="0"/>
              </w:numPr>
              <w:contextualSpacing/>
              <w:jc w:val="right"/>
              <w:rPr>
                <w:iCs/>
                <w:sz w:val="18"/>
                <w:szCs w:val="18"/>
              </w:rPr>
            </w:pPr>
            <w:r w:rsidRPr="008B5C7B">
              <w:rPr>
                <w:sz w:val="18"/>
                <w:szCs w:val="18"/>
              </w:rPr>
              <w:t>Appeal and Grievance Resolution Processes Technical Requirement–IV(B)(1)(b)</w:t>
            </w:r>
          </w:p>
          <w:p w14:paraId="7952B8A6" w14:textId="77777777" w:rsidR="00A6225E" w:rsidRPr="00903F99" w:rsidRDefault="00A6225E" w:rsidP="00A6225E">
            <w:pPr>
              <w:pStyle w:val="HSAGTableContracttext"/>
              <w:keepNext/>
              <w:spacing w:before="0" w:after="0"/>
              <w:ind w:left="1440"/>
              <w:contextualSpacing/>
              <w:rPr>
                <w:i w:val="0"/>
                <w:szCs w:val="18"/>
              </w:rPr>
            </w:pPr>
          </w:p>
        </w:tc>
        <w:tc>
          <w:tcPr>
            <w:tcW w:w="6113" w:type="dxa"/>
            <w:gridSpan w:val="2"/>
            <w:shd w:val="clear" w:color="auto" w:fill="FFFFFF" w:themeFill="background1"/>
          </w:tcPr>
          <w:p w14:paraId="4B88B074" w14:textId="77777777" w:rsidR="00A6225E" w:rsidRPr="008B5C7B" w:rsidRDefault="00A6225E" w:rsidP="00A6225E">
            <w:pPr>
              <w:pStyle w:val="HSAGTableText"/>
              <w:contextualSpacing/>
              <w:rPr>
                <w:b/>
                <w:bCs/>
              </w:rPr>
            </w:pPr>
            <w:r w:rsidRPr="008B5C7B">
              <w:rPr>
                <w:b/>
                <w:bCs/>
              </w:rPr>
              <w:lastRenderedPageBreak/>
              <w:t>HSAG Required Evidence:</w:t>
            </w:r>
          </w:p>
          <w:p w14:paraId="55E637BE" w14:textId="77777777" w:rsidR="00A6225E" w:rsidRPr="008B5C7B" w:rsidRDefault="00A6225E" w:rsidP="00A6225E">
            <w:pPr>
              <w:pStyle w:val="HSAGTableText"/>
              <w:numPr>
                <w:ilvl w:val="0"/>
                <w:numId w:val="39"/>
              </w:numPr>
              <w:spacing w:before="0" w:after="0"/>
              <w:contextualSpacing/>
            </w:pPr>
            <w:r w:rsidRPr="008B5C7B">
              <w:t>Policies and procedures</w:t>
            </w:r>
          </w:p>
          <w:p w14:paraId="7BF5598C" w14:textId="77777777" w:rsidR="00A6225E" w:rsidRPr="008B5C7B" w:rsidRDefault="00A6225E" w:rsidP="00A6225E">
            <w:pPr>
              <w:pStyle w:val="HSAGTableText"/>
              <w:numPr>
                <w:ilvl w:val="0"/>
                <w:numId w:val="39"/>
              </w:numPr>
              <w:contextualSpacing/>
            </w:pPr>
            <w:r w:rsidRPr="008B5C7B">
              <w:t>UM program description</w:t>
            </w:r>
          </w:p>
          <w:p w14:paraId="0E7954C9" w14:textId="77777777" w:rsidR="00A6225E" w:rsidRPr="008B5C7B" w:rsidRDefault="00A6225E" w:rsidP="00A6225E">
            <w:pPr>
              <w:pStyle w:val="HSAGTableText"/>
              <w:numPr>
                <w:ilvl w:val="0"/>
                <w:numId w:val="39"/>
              </w:numPr>
              <w:spacing w:before="0" w:after="0"/>
              <w:contextualSpacing/>
            </w:pPr>
            <w:r w:rsidRPr="008B5C7B">
              <w:lastRenderedPageBreak/>
              <w:t>Tracking and reporting mechanisms</w:t>
            </w:r>
          </w:p>
          <w:p w14:paraId="332FC31D" w14:textId="77777777" w:rsidR="00A6225E" w:rsidRDefault="00A6225E" w:rsidP="00A6225E">
            <w:pPr>
              <w:numPr>
                <w:ilvl w:val="0"/>
                <w:numId w:val="39"/>
              </w:numPr>
              <w:spacing w:before="0" w:after="0"/>
              <w:contextualSpacing/>
              <w:textAlignment w:val="baseline"/>
              <w:rPr>
                <w:rFonts w:eastAsia="Times New Roman" w:cs="Times New Roman"/>
                <w:color w:val="000000"/>
                <w:sz w:val="22"/>
              </w:rPr>
            </w:pPr>
            <w:r w:rsidRPr="008B5C7B">
              <w:rPr>
                <w:rFonts w:eastAsia="Times New Roman" w:cs="Times New Roman"/>
                <w:color w:val="000000"/>
                <w:sz w:val="22"/>
              </w:rPr>
              <w:t xml:space="preserve">Service authorization log(s) within the </w:t>
            </w:r>
            <w:proofErr w:type="gramStart"/>
            <w:r w:rsidRPr="008B5C7B">
              <w:rPr>
                <w:rFonts w:eastAsia="Times New Roman" w:cs="Times New Roman"/>
                <w:color w:val="000000"/>
                <w:sz w:val="22"/>
              </w:rPr>
              <w:t>time period</w:t>
            </w:r>
            <w:proofErr w:type="gramEnd"/>
            <w:r w:rsidRPr="008B5C7B">
              <w:rPr>
                <w:rFonts w:eastAsia="Times New Roman" w:cs="Times New Roman"/>
                <w:color w:val="000000"/>
                <w:sz w:val="22"/>
              </w:rPr>
              <w:t xml:space="preserve"> under review</w:t>
            </w:r>
          </w:p>
          <w:p w14:paraId="7582AE77" w14:textId="15C49FB6" w:rsidR="00A6225E" w:rsidRPr="00753AE4" w:rsidRDefault="00A6225E" w:rsidP="00A6225E">
            <w:pPr>
              <w:numPr>
                <w:ilvl w:val="0"/>
                <w:numId w:val="39"/>
              </w:numPr>
              <w:spacing w:before="0" w:after="0"/>
              <w:contextualSpacing/>
              <w:textAlignment w:val="baseline"/>
              <w:rPr>
                <w:rFonts w:eastAsia="Times New Roman" w:cs="Times New Roman"/>
                <w:color w:val="000000"/>
                <w:sz w:val="22"/>
              </w:rPr>
            </w:pPr>
            <w:r w:rsidRPr="008B5C7B">
              <w:t>HSAG will also use the results of the service authorization denial file review</w:t>
            </w:r>
          </w:p>
        </w:tc>
        <w:tc>
          <w:tcPr>
            <w:tcW w:w="1428" w:type="dxa"/>
            <w:vMerge w:val="restart"/>
            <w:shd w:val="clear" w:color="auto" w:fill="FFFFFF" w:themeFill="background1"/>
          </w:tcPr>
          <w:p w14:paraId="4E9CDC78" w14:textId="77777777" w:rsidR="00A6225E" w:rsidRPr="008B5C7B" w:rsidRDefault="00000000" w:rsidP="00A6225E">
            <w:pPr>
              <w:spacing w:before="60" w:after="0"/>
              <w:contextualSpacing/>
              <w:rPr>
                <w:sz w:val="22"/>
              </w:rPr>
            </w:pPr>
            <w:sdt>
              <w:sdtPr>
                <w:rPr>
                  <w:sz w:val="22"/>
                </w:rPr>
                <w:id w:val="2102831467"/>
                <w14:checkbox>
                  <w14:checked w14:val="0"/>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Met</w:t>
            </w:r>
          </w:p>
          <w:p w14:paraId="72C2BC7C" w14:textId="77777777" w:rsidR="00A6225E" w:rsidRPr="008B5C7B" w:rsidRDefault="00000000" w:rsidP="00A6225E">
            <w:pPr>
              <w:spacing w:before="60" w:after="0"/>
              <w:contextualSpacing/>
              <w:rPr>
                <w:sz w:val="22"/>
              </w:rPr>
            </w:pPr>
            <w:sdt>
              <w:sdtPr>
                <w:rPr>
                  <w:sz w:val="22"/>
                </w:rPr>
                <w:id w:val="-876004218"/>
                <w14:checkbox>
                  <w14:checked w14:val="1"/>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Not Met</w:t>
            </w:r>
          </w:p>
          <w:p w14:paraId="33C5D988" w14:textId="77777777" w:rsidR="00A6225E" w:rsidRPr="008B5C7B" w:rsidRDefault="00000000" w:rsidP="00A6225E">
            <w:pPr>
              <w:spacing w:before="60" w:after="0"/>
              <w:contextualSpacing/>
              <w:rPr>
                <w:sz w:val="22"/>
              </w:rPr>
            </w:pPr>
            <w:sdt>
              <w:sdtPr>
                <w:rPr>
                  <w:sz w:val="22"/>
                </w:rPr>
                <w:id w:val="1066764019"/>
                <w14:checkbox>
                  <w14:checked w14:val="0"/>
                  <w14:checkedState w14:val="2612" w14:font="MS Gothic"/>
                  <w14:uncheckedState w14:val="2610" w14:font="MS Gothic"/>
                </w14:checkbox>
              </w:sdtPr>
              <w:sdtContent>
                <w:r w:rsidR="00A6225E" w:rsidRPr="008B5C7B">
                  <w:rPr>
                    <w:rFonts w:ascii="MS Gothic" w:eastAsia="MS Gothic" w:hAnsi="MS Gothic"/>
                    <w:sz w:val="22"/>
                  </w:rPr>
                  <w:t>☐</w:t>
                </w:r>
              </w:sdtContent>
            </w:sdt>
            <w:r w:rsidR="00A6225E" w:rsidRPr="008B5C7B">
              <w:rPr>
                <w:sz w:val="22"/>
              </w:rPr>
              <w:t xml:space="preserve"> NA</w:t>
            </w:r>
          </w:p>
          <w:p w14:paraId="316BF64E" w14:textId="77777777" w:rsidR="00A6225E" w:rsidRPr="00903F99" w:rsidRDefault="00A6225E" w:rsidP="00A6225E">
            <w:pPr>
              <w:spacing w:before="0" w:after="0"/>
              <w:contextualSpacing/>
              <w:rPr>
                <w:sz w:val="22"/>
              </w:rPr>
            </w:pPr>
          </w:p>
        </w:tc>
      </w:tr>
      <w:tr w:rsidR="00A6225E" w:rsidRPr="00903F99" w14:paraId="31353285" w14:textId="77777777" w:rsidTr="00753AE4">
        <w:trPr>
          <w:trHeight w:val="374"/>
          <w:jc w:val="center"/>
        </w:trPr>
        <w:tc>
          <w:tcPr>
            <w:tcW w:w="6470" w:type="dxa"/>
            <w:gridSpan w:val="2"/>
            <w:vMerge/>
          </w:tcPr>
          <w:p w14:paraId="215DB4BB" w14:textId="77777777" w:rsidR="00A6225E" w:rsidRPr="00903F99" w:rsidRDefault="00A6225E" w:rsidP="00A6225E">
            <w:pPr>
              <w:pStyle w:val="HSAGNumbers"/>
              <w:numPr>
                <w:ilvl w:val="0"/>
                <w:numId w:val="17"/>
              </w:numPr>
              <w:spacing w:before="0" w:after="0"/>
              <w:contextualSpacing/>
            </w:pPr>
          </w:p>
        </w:tc>
        <w:tc>
          <w:tcPr>
            <w:tcW w:w="6113" w:type="dxa"/>
            <w:gridSpan w:val="2"/>
            <w:shd w:val="clear" w:color="auto" w:fill="FFFFFF" w:themeFill="background1"/>
          </w:tcPr>
          <w:p w14:paraId="4837133E" w14:textId="77777777" w:rsidR="00A6225E" w:rsidRPr="008B5C7B" w:rsidRDefault="00A6225E" w:rsidP="00A6225E">
            <w:pPr>
              <w:pStyle w:val="HSAGTableText"/>
              <w:contextualSpacing/>
              <w:rPr>
                <w:b/>
                <w:bCs/>
              </w:rPr>
            </w:pPr>
            <w:r w:rsidRPr="008B5C7B">
              <w:rPr>
                <w:b/>
                <w:bCs/>
              </w:rPr>
              <w:t>Evidence as Submitted by the PIHP:</w:t>
            </w:r>
          </w:p>
          <w:p w14:paraId="03EA0D64" w14:textId="77777777" w:rsidR="00A6225E" w:rsidRPr="008B5C7B" w:rsidRDefault="00A6225E" w:rsidP="00A6225E">
            <w:pPr>
              <w:pStyle w:val="HSAGTableText"/>
              <w:numPr>
                <w:ilvl w:val="0"/>
                <w:numId w:val="40"/>
              </w:numPr>
              <w:contextualSpacing/>
            </w:pPr>
            <w:r w:rsidRPr="008B5C7B">
              <w:t>SVI_E14_Evidence_Expedited auth</w:t>
            </w:r>
          </w:p>
          <w:p w14:paraId="45105CF7" w14:textId="77777777" w:rsidR="00A6225E" w:rsidRPr="008B5C7B" w:rsidRDefault="00A6225E" w:rsidP="00A6225E">
            <w:pPr>
              <w:pStyle w:val="HSAGTableText"/>
              <w:numPr>
                <w:ilvl w:val="0"/>
                <w:numId w:val="40"/>
              </w:numPr>
              <w:contextualSpacing/>
            </w:pPr>
            <w:r w:rsidRPr="008B5C7B">
              <w:t>SVI_E14_Evidence_Expedited Report For the timeframe</w:t>
            </w:r>
          </w:p>
          <w:p w14:paraId="1FCB4CF2" w14:textId="77777777" w:rsidR="00A6225E" w:rsidRPr="008B5C7B" w:rsidRDefault="00A6225E" w:rsidP="00A6225E">
            <w:pPr>
              <w:pStyle w:val="HSAGTableText"/>
              <w:numPr>
                <w:ilvl w:val="0"/>
                <w:numId w:val="40"/>
              </w:numPr>
              <w:contextualSpacing/>
            </w:pPr>
            <w:r w:rsidRPr="008B5C7B">
              <w:t>SVI_E14_Expedited- system change communication to staff</w:t>
            </w:r>
          </w:p>
          <w:p w14:paraId="555391E4" w14:textId="77777777" w:rsidR="00A6225E" w:rsidRPr="008B5C7B" w:rsidRDefault="00A6225E" w:rsidP="00A6225E">
            <w:pPr>
              <w:pStyle w:val="HSAGTableText"/>
              <w:numPr>
                <w:ilvl w:val="0"/>
                <w:numId w:val="40"/>
              </w:numPr>
              <w:contextualSpacing/>
            </w:pPr>
            <w:r w:rsidRPr="008B5C7B">
              <w:t>SVI_E14_NL_Service Authorization Denials Reporting</w:t>
            </w:r>
          </w:p>
          <w:p w14:paraId="09C86395" w14:textId="77777777" w:rsidR="00A6225E" w:rsidRDefault="00A6225E" w:rsidP="00A6225E">
            <w:pPr>
              <w:pStyle w:val="HSAGTableText"/>
              <w:numPr>
                <w:ilvl w:val="0"/>
                <w:numId w:val="40"/>
              </w:numPr>
              <w:contextualSpacing/>
            </w:pPr>
            <w:r w:rsidRPr="008B5C7B">
              <w:t xml:space="preserve">SVI_E14_NMRE Beneficiary Grievance and Appeals </w:t>
            </w:r>
            <w:proofErr w:type="spellStart"/>
            <w:r w:rsidRPr="008B5C7B">
              <w:t>Policy_page</w:t>
            </w:r>
            <w:proofErr w:type="spellEnd"/>
            <w:r w:rsidRPr="008B5C7B">
              <w:t xml:space="preserve"> 7 section 6 (a)</w:t>
            </w:r>
          </w:p>
          <w:p w14:paraId="22EB3D7B" w14:textId="71B36220" w:rsidR="00A6225E" w:rsidRPr="00903F99" w:rsidRDefault="00A6225E" w:rsidP="00A6225E">
            <w:pPr>
              <w:pStyle w:val="HSAGTableText"/>
              <w:numPr>
                <w:ilvl w:val="0"/>
                <w:numId w:val="40"/>
              </w:numPr>
              <w:contextualSpacing/>
            </w:pPr>
            <w:r w:rsidRPr="008B5C7B">
              <w:t xml:space="preserve">SVI_E14_NMRE Service </w:t>
            </w:r>
            <w:proofErr w:type="spellStart"/>
            <w:r w:rsidRPr="008B5C7B">
              <w:t>Authorization_page</w:t>
            </w:r>
            <w:proofErr w:type="spellEnd"/>
            <w:r w:rsidRPr="008B5C7B">
              <w:t xml:space="preserve"> 2</w:t>
            </w:r>
          </w:p>
        </w:tc>
        <w:tc>
          <w:tcPr>
            <w:tcW w:w="1428" w:type="dxa"/>
            <w:vMerge/>
            <w:shd w:val="clear" w:color="auto" w:fill="FFFFFF" w:themeFill="background1"/>
          </w:tcPr>
          <w:p w14:paraId="35A25F77" w14:textId="77777777" w:rsidR="00A6225E" w:rsidRPr="00903F99" w:rsidRDefault="00A6225E" w:rsidP="00A6225E">
            <w:pPr>
              <w:spacing w:before="0" w:after="0"/>
              <w:contextualSpacing/>
              <w:rPr>
                <w:sz w:val="22"/>
              </w:rPr>
            </w:pPr>
          </w:p>
        </w:tc>
      </w:tr>
      <w:tr w:rsidR="00A6225E" w:rsidRPr="00903F99" w14:paraId="09A4A25B" w14:textId="77777777" w:rsidTr="00171D87">
        <w:trPr>
          <w:trHeight w:val="374"/>
          <w:jc w:val="center"/>
        </w:trPr>
        <w:tc>
          <w:tcPr>
            <w:tcW w:w="14011" w:type="dxa"/>
            <w:gridSpan w:val="5"/>
            <w:vAlign w:val="center"/>
          </w:tcPr>
          <w:p w14:paraId="60DFED6F" w14:textId="356AF880" w:rsidR="00A6225E" w:rsidRPr="00903F99" w:rsidRDefault="00A6225E" w:rsidP="00A6225E">
            <w:pPr>
              <w:pStyle w:val="HSAGTableText"/>
              <w:contextualSpacing/>
            </w:pPr>
            <w:r w:rsidRPr="008B5C7B">
              <w:rPr>
                <w:b/>
              </w:rPr>
              <w:t>PIHP Description of Process:</w:t>
            </w:r>
            <w:r w:rsidRPr="008B5C7B">
              <w:t xml:space="preserve"> </w:t>
            </w:r>
            <w:r w:rsidRPr="008B5C7B">
              <w:rPr>
                <w:rStyle w:val="normaltextrun"/>
                <w:color w:val="000000"/>
                <w:shd w:val="clear" w:color="auto" w:fill="FFFFFF"/>
              </w:rPr>
              <w:t xml:space="preserve">During the review period NMRE had no occurrences of these requests, one was submitted in error, and it was </w:t>
            </w:r>
            <w:proofErr w:type="gramStart"/>
            <w:r w:rsidRPr="008B5C7B">
              <w:rPr>
                <w:rStyle w:val="normaltextrun"/>
                <w:color w:val="000000"/>
                <w:shd w:val="clear" w:color="auto" w:fill="FFFFFF"/>
              </w:rPr>
              <w:t>used it</w:t>
            </w:r>
            <w:proofErr w:type="gramEnd"/>
            <w:r w:rsidRPr="008B5C7B">
              <w:rPr>
                <w:rStyle w:val="normaltextrun"/>
                <w:color w:val="000000"/>
                <w:shd w:val="clear" w:color="auto" w:fill="FFFFFF"/>
              </w:rPr>
              <w:t xml:space="preserve"> to show the example of our PCE/Recon </w:t>
            </w:r>
            <w:r w:rsidRPr="00CC74C5">
              <w:t>system</w:t>
            </w:r>
            <w:r w:rsidRPr="008B5C7B">
              <w:rPr>
                <w:rStyle w:val="normaltextrun"/>
                <w:color w:val="000000"/>
                <w:shd w:val="clear" w:color="auto" w:fill="FFFFFF"/>
              </w:rPr>
              <w:t xml:space="preserve"> functionality we implemented to track these requests. </w:t>
            </w:r>
          </w:p>
        </w:tc>
      </w:tr>
      <w:tr w:rsidR="00A6225E" w:rsidRPr="0026679F" w14:paraId="56EC799B" w14:textId="77777777" w:rsidTr="00171D87">
        <w:trPr>
          <w:trHeight w:val="374"/>
          <w:jc w:val="center"/>
        </w:trPr>
        <w:tc>
          <w:tcPr>
            <w:tcW w:w="14011" w:type="dxa"/>
            <w:gridSpan w:val="5"/>
            <w:tcBorders>
              <w:bottom w:val="single" w:sz="4" w:space="0" w:color="000000"/>
            </w:tcBorders>
            <w:vAlign w:val="center"/>
          </w:tcPr>
          <w:p w14:paraId="63CC22F6" w14:textId="77777777" w:rsidR="00A6225E" w:rsidRPr="008B5C7B" w:rsidRDefault="00A6225E" w:rsidP="00A6225E">
            <w:pPr>
              <w:pStyle w:val="HSAGTableText"/>
              <w:contextualSpacing/>
            </w:pPr>
            <w:r w:rsidRPr="008B5C7B">
              <w:rPr>
                <w:b/>
              </w:rPr>
              <w:t>HSAG Findings:</w:t>
            </w:r>
            <w:r w:rsidRPr="008B5C7B">
              <w:t xml:space="preserve"> The MDHHS denials reporting template identified four expedited cases that were not completed within 72 hours. However, three of these four cases were incorrectly reported as being timely. The MDHHS denials reporting template also identified several expedited cases with the exact same date/time for the receipt of the request and the mailing of the ABD notice, or the mailing of the ABD notice occurred a minute or more prior to the receipt of the request. Additionally, the case file review identified two records that were reported as expedited cases; however, in review of the case files and discussion with the PIHP, they appeared to be documented as expedited cases in error. Further, based on the case file review and discussion with the PIHP, it is unclear whether the PIHP was capturing the correct date/time for the mailing of the ABD notice to calculate expedited TATs. Further, the MDHHS denials reporting template confirmed that the PIHP was reporting most requests for inpatient hospitalization as a standard service authorization request and not an expedited request, although the PIHP must complete a pre-admission screening and render a decision for this service within three hours. As the PIHP must make an expedited authorization decision and provide notice “as expeditiously as the member’s health condition requires and no later than 72 hours after receipt of the request for service,” these cases meet the federal definition of an expedited service authorization. During the site review, the PIHP reported that it did not agree that requests for inpatient hospitalization be categorized as expedited service authorization requests as the authorization is not initiated until a provider is identified, which may take several days to several weeks. However, the PIHP is required to complete a pre-admission screening and render a decision for inpatient hospitalization within three hours, which </w:t>
            </w:r>
            <w:proofErr w:type="gramStart"/>
            <w:r w:rsidRPr="008B5C7B">
              <w:t>again,</w:t>
            </w:r>
            <w:proofErr w:type="gramEnd"/>
            <w:r w:rsidRPr="008B5C7B">
              <w:t xml:space="preserve"> meets the definition of an expedited case. If the member does not meet the criteria, an ABD notice must be issued “as expeditiously as the member’s health condition requires and no later than 72 hours after receipt of the request </w:t>
            </w:r>
            <w:r w:rsidRPr="008B5C7B">
              <w:lastRenderedPageBreak/>
              <w:t xml:space="preserve">for service.” If the member meets the criteria and a provider is not identified initially, the actual authorization with an identified provider may be entered into the PIHP’s system </w:t>
            </w:r>
            <w:proofErr w:type="gramStart"/>
            <w:r w:rsidRPr="008B5C7B">
              <w:t>at a later time</w:t>
            </w:r>
            <w:proofErr w:type="gramEnd"/>
            <w:r w:rsidRPr="008B5C7B">
              <w:t xml:space="preserve">, but this does not change the fact that the actual authorization decision (i.e., approval or denial for the service) must be made expeditiously. If the provision of services is not initiated in a timely manner, the PIHP must then issue an ABD notice due to the PIHP’s failure to start approved services in a timely manner. Additionally, while there were inconsistencies among the PIHPs related to expedited service authorizations (i.e., tracking and reporting), after further review and discussion among HSAG reviewers following the site review, it was determined to score this element as </w:t>
            </w:r>
            <w:r w:rsidRPr="008B5C7B">
              <w:rPr>
                <w:i/>
                <w:iCs/>
              </w:rPr>
              <w:t>Not Met</w:t>
            </w:r>
            <w:r w:rsidRPr="008B5C7B">
              <w:t xml:space="preserve"> to ensure timeliness and accurate reporting of expedited cases.</w:t>
            </w:r>
          </w:p>
          <w:p w14:paraId="0BF5272C" w14:textId="296616C1" w:rsidR="00A6225E" w:rsidRPr="0026679F" w:rsidRDefault="00A6225E" w:rsidP="00A6225E">
            <w:pPr>
              <w:pStyle w:val="HSAGTableText"/>
              <w:spacing w:before="0"/>
            </w:pPr>
            <w:r w:rsidRPr="008B5C7B">
              <w:rPr>
                <w:b/>
                <w:bCs/>
              </w:rPr>
              <w:t>Recommendations:</w:t>
            </w:r>
            <w:r w:rsidRPr="008B5C7B">
              <w:t xml:space="preserve"> HSAG recommends that the PIHP enhance processes related to the reporting of service authorization requests that should be categorized expedited, including service requests that MDHHS already requires to be completed expeditiously (e.g., inpatient </w:t>
            </w:r>
            <w:proofErr w:type="gramStart"/>
            <w:r w:rsidRPr="008B5C7B">
              <w:t>hospitalization, and</w:t>
            </w:r>
            <w:proofErr w:type="gramEnd"/>
            <w:r w:rsidRPr="008B5C7B">
              <w:t xml:space="preserve"> detoxification, methadone, and residential for priority populations). </w:t>
            </w:r>
          </w:p>
        </w:tc>
      </w:tr>
      <w:tr w:rsidR="00A6225E" w:rsidRPr="0026679F" w14:paraId="708A0CED" w14:textId="77777777" w:rsidTr="00171D87">
        <w:trPr>
          <w:trHeight w:val="374"/>
          <w:jc w:val="center"/>
        </w:trPr>
        <w:tc>
          <w:tcPr>
            <w:tcW w:w="14011" w:type="dxa"/>
            <w:gridSpan w:val="5"/>
            <w:tcBorders>
              <w:top w:val="single" w:sz="4" w:space="0" w:color="000000"/>
              <w:bottom w:val="single" w:sz="4" w:space="0" w:color="auto"/>
            </w:tcBorders>
            <w:vAlign w:val="center"/>
          </w:tcPr>
          <w:p w14:paraId="4902191B" w14:textId="4C83A65B" w:rsidR="00A6225E" w:rsidRPr="0026679F" w:rsidRDefault="00A6225E" w:rsidP="00A6225E">
            <w:pPr>
              <w:pStyle w:val="HSAGTableText"/>
              <w:rPr>
                <w:b/>
              </w:rPr>
            </w:pPr>
            <w:r w:rsidRPr="008B5C7B">
              <w:rPr>
                <w:b/>
              </w:rPr>
              <w:lastRenderedPageBreak/>
              <w:t>Required Actions:</w:t>
            </w:r>
            <w:r w:rsidRPr="008B5C7B">
              <w:t xml:space="preserve"> For cases in which a provider indicates, or the PIHP determines, that following the standard time frame could seriously jeopardize the member’s life or health or ability to attain, maintain, or regain maximum function, the PIHP must make an expedited authorization decision and provide notice as expeditiously as the member’s health condition requires and no later than 72 hours after receipt of the request for service. The PIHP must ensure accurate implementation, documentation, tracking, and reporting of extensions.</w:t>
            </w:r>
          </w:p>
        </w:tc>
      </w:tr>
      <w:tr w:rsidR="00A6225E" w:rsidRPr="00D16F05" w14:paraId="6B2DD4AE"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7B1EE46B" w14:textId="77777777" w:rsidR="00A6225E" w:rsidRPr="00D16F05" w:rsidRDefault="00A6225E" w:rsidP="00A6225E">
            <w:pPr>
              <w:pStyle w:val="HSAGTableText"/>
              <w:keepNext/>
              <w:contextualSpacing/>
              <w:rPr>
                <w:b/>
              </w:rPr>
            </w:pPr>
            <w:r>
              <w:rPr>
                <w:b/>
              </w:rPr>
              <w:t>PIHP Corrective Action Plan</w:t>
            </w:r>
          </w:p>
        </w:tc>
      </w:tr>
      <w:tr w:rsidR="00A6225E" w:rsidRPr="00984D92" w14:paraId="6A6FB3FB"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8450222" w14:textId="6019110F" w:rsidR="00A6225E" w:rsidRPr="00984D92" w:rsidRDefault="00A6225E" w:rsidP="00A6225E">
            <w:pPr>
              <w:pStyle w:val="HSAGTableText"/>
              <w:contextualSpacing/>
              <w:rPr>
                <w:bCs/>
              </w:rPr>
            </w:pPr>
            <w:r>
              <w:rPr>
                <w:b/>
              </w:rPr>
              <w:t>Root Cause Analysis:</w:t>
            </w:r>
            <w:r w:rsidRPr="003F5489">
              <w:rPr>
                <w:bCs/>
              </w:rPr>
              <w:t xml:space="preserve"> </w:t>
            </w:r>
            <w:r>
              <w:rPr>
                <w:bCs/>
              </w:rPr>
              <w:t>Lack of understanding and knowledge</w:t>
            </w:r>
          </w:p>
        </w:tc>
      </w:tr>
      <w:tr w:rsidR="00A6225E" w:rsidRPr="00FC2C0F" w14:paraId="13CCF0FA"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A589805" w14:textId="557807D8" w:rsidR="00A6225E" w:rsidRPr="00387E84" w:rsidRDefault="00A6225E" w:rsidP="00A6225E">
            <w:pPr>
              <w:pStyle w:val="HSAGTableText"/>
              <w:contextualSpacing/>
              <w:rPr>
                <w:bCs/>
                <w:highlight w:val="yellow"/>
              </w:rPr>
            </w:pPr>
            <w:r w:rsidRPr="00286DF3">
              <w:rPr>
                <w:b/>
              </w:rPr>
              <w:t>PIHP Remediation Plan:</w:t>
            </w:r>
            <w:r w:rsidRPr="00286DF3">
              <w:rPr>
                <w:bCs/>
              </w:rPr>
              <w:t xml:space="preserve"> </w:t>
            </w:r>
            <w:r w:rsidR="00576CFC">
              <w:rPr>
                <w:bCs/>
              </w:rPr>
              <w:t xml:space="preserve">The NMRE hosted a two-day ABD regional training </w:t>
            </w:r>
            <w:r w:rsidR="00284A0E">
              <w:rPr>
                <w:bCs/>
              </w:rPr>
              <w:t xml:space="preserve">attended by 100 </w:t>
            </w:r>
            <w:r w:rsidR="00576CFC">
              <w:rPr>
                <w:bCs/>
              </w:rPr>
              <w:t>CMHSP staff in January 2025. Additionally, the NMRE will conduct quarterly audits, beginning for 1</w:t>
            </w:r>
            <w:r w:rsidR="00576CFC" w:rsidRPr="00C8682B">
              <w:rPr>
                <w:bCs/>
                <w:vertAlign w:val="superscript"/>
              </w:rPr>
              <w:t>st</w:t>
            </w:r>
            <w:r w:rsidR="00576CFC">
              <w:rPr>
                <w:bCs/>
              </w:rPr>
              <w:t xml:space="preserve"> quarter FY 2025 for ABD requirements and Annual site monitoring will be conducted in FY 2025 to ensure the accurate implementation, documentation, tracking and reporting of extensions. NMRE staff are participating in statewide ABD workgroup with PCE to remediate identified issues.</w:t>
            </w:r>
          </w:p>
        </w:tc>
      </w:tr>
      <w:tr w:rsidR="00387E84" w:rsidRPr="00FC2C0F" w14:paraId="5BBF1813"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84575A5" w14:textId="56B3C233" w:rsidR="00387E84" w:rsidRPr="00FC2C0F" w:rsidRDefault="00387E84" w:rsidP="00387E84">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387E84" w:rsidRPr="00FC2C0F" w14:paraId="4E85B918" w14:textId="77777777" w:rsidTr="00753AE4">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4D0B88A3" w14:textId="2A022EF9" w:rsidR="00387E84" w:rsidRPr="00FC2C0F" w:rsidRDefault="00387E84" w:rsidP="00387E84">
            <w:pPr>
              <w:pStyle w:val="HSAGTableText"/>
              <w:contextualSpacing/>
              <w:rPr>
                <w:bCs/>
              </w:rPr>
            </w:pPr>
            <w:r w:rsidRPr="00B30934">
              <w:rPr>
                <w:b/>
              </w:rPr>
              <w:t>Timeline:</w:t>
            </w:r>
            <w:r>
              <w:rPr>
                <w:bCs/>
              </w:rPr>
              <w:t xml:space="preserve"> 9/30/25</w:t>
            </w:r>
          </w:p>
        </w:tc>
      </w:tr>
      <w:tr w:rsidR="00387E84" w14:paraId="18FEBC79"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18" w:space="0" w:color="00549E" w:themeColor="text2"/>
            </w:tcBorders>
            <w:shd w:val="clear" w:color="auto" w:fill="F2F2F2" w:themeFill="background1" w:themeFillShade="F2"/>
          </w:tcPr>
          <w:p w14:paraId="7B1AAC6D" w14:textId="77777777" w:rsidR="00387E84" w:rsidRPr="00FC2C0F" w:rsidRDefault="00387E84" w:rsidP="00387E84">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18" w:space="0" w:color="00549E" w:themeColor="text2"/>
            </w:tcBorders>
            <w:shd w:val="clear" w:color="auto" w:fill="F2F2F2" w:themeFill="background1" w:themeFillShade="F2"/>
          </w:tcPr>
          <w:p w14:paraId="4955C237" w14:textId="77777777" w:rsidR="00387E84" w:rsidRPr="00C123EE" w:rsidRDefault="00000000" w:rsidP="00387E84">
            <w:pPr>
              <w:pStyle w:val="HSAGTableText"/>
              <w:contextualSpacing/>
              <w:rPr>
                <w:bCs/>
              </w:rPr>
            </w:pPr>
            <w:sdt>
              <w:sdtPr>
                <w:rPr>
                  <w:bCs/>
                </w:rPr>
                <w:id w:val="535935499"/>
                <w14:checkbox>
                  <w14:checked w14:val="0"/>
                  <w14:checkedState w14:val="2612" w14:font="MS Gothic"/>
                  <w14:uncheckedState w14:val="2610" w14:font="MS Gothic"/>
                </w14:checkbox>
              </w:sdtPr>
              <w:sdtContent>
                <w:r w:rsidR="00387E84" w:rsidRPr="00C123EE">
                  <w:rPr>
                    <w:rFonts w:ascii="MS Gothic" w:eastAsia="MS Gothic" w:hAnsi="MS Gothic" w:hint="eastAsia"/>
                    <w:bCs/>
                  </w:rPr>
                  <w:t>☐</w:t>
                </w:r>
              </w:sdtContent>
            </w:sdt>
            <w:r w:rsidR="00387E84" w:rsidRPr="00C123EE">
              <w:rPr>
                <w:bCs/>
              </w:rPr>
              <w:t xml:space="preserve"> Accepted</w:t>
            </w:r>
          </w:p>
          <w:p w14:paraId="7A08921E" w14:textId="77777777" w:rsidR="00387E84" w:rsidRPr="00C123EE" w:rsidRDefault="00000000" w:rsidP="00387E84">
            <w:pPr>
              <w:pStyle w:val="HSAGTableText"/>
              <w:contextualSpacing/>
              <w:rPr>
                <w:bCs/>
              </w:rPr>
            </w:pPr>
            <w:sdt>
              <w:sdtPr>
                <w:rPr>
                  <w:bCs/>
                </w:rPr>
                <w:id w:val="-1818641553"/>
                <w14:checkbox>
                  <w14:checked w14:val="0"/>
                  <w14:checkedState w14:val="2612" w14:font="MS Gothic"/>
                  <w14:uncheckedState w14:val="2610" w14:font="MS Gothic"/>
                </w14:checkbox>
              </w:sdtPr>
              <w:sdtContent>
                <w:r w:rsidR="00387E84" w:rsidRPr="00C123EE">
                  <w:rPr>
                    <w:rFonts w:ascii="MS Gothic" w:eastAsia="MS Gothic" w:hAnsi="MS Gothic" w:hint="eastAsia"/>
                    <w:bCs/>
                  </w:rPr>
                  <w:t>☐</w:t>
                </w:r>
              </w:sdtContent>
            </w:sdt>
            <w:r w:rsidR="00387E84" w:rsidRPr="00C123EE">
              <w:rPr>
                <w:bCs/>
              </w:rPr>
              <w:t xml:space="preserve"> Accepted </w:t>
            </w:r>
            <w:r w:rsidR="00387E84">
              <w:rPr>
                <w:bCs/>
              </w:rPr>
              <w:t>W</w:t>
            </w:r>
            <w:r w:rsidR="00387E84" w:rsidRPr="00C123EE">
              <w:rPr>
                <w:bCs/>
              </w:rPr>
              <w:t>ith Recommendations</w:t>
            </w:r>
          </w:p>
          <w:p w14:paraId="35DA7672" w14:textId="77777777" w:rsidR="00387E84" w:rsidRDefault="00000000" w:rsidP="00387E84">
            <w:pPr>
              <w:pStyle w:val="HSAGTableText"/>
              <w:contextualSpacing/>
              <w:rPr>
                <w:b/>
              </w:rPr>
            </w:pPr>
            <w:sdt>
              <w:sdtPr>
                <w:rPr>
                  <w:bCs/>
                </w:rPr>
                <w:id w:val="-320265117"/>
                <w14:checkbox>
                  <w14:checked w14:val="0"/>
                  <w14:checkedState w14:val="2612" w14:font="MS Gothic"/>
                  <w14:uncheckedState w14:val="2610" w14:font="MS Gothic"/>
                </w14:checkbox>
              </w:sdtPr>
              <w:sdtContent>
                <w:r w:rsidR="00387E84" w:rsidRPr="00C123EE">
                  <w:rPr>
                    <w:rFonts w:ascii="MS Gothic" w:eastAsia="MS Gothic" w:hAnsi="MS Gothic" w:hint="eastAsia"/>
                    <w:bCs/>
                  </w:rPr>
                  <w:t>☐</w:t>
                </w:r>
              </w:sdtContent>
            </w:sdt>
            <w:r w:rsidR="00387E84" w:rsidRPr="00C123EE">
              <w:rPr>
                <w:bCs/>
              </w:rPr>
              <w:t xml:space="preserve"> Not Accepted</w:t>
            </w:r>
          </w:p>
        </w:tc>
      </w:tr>
      <w:tr w:rsidR="00387E84" w:rsidRPr="00903F99" w14:paraId="20D5750F" w14:textId="77777777" w:rsidTr="00753AE4">
        <w:trPr>
          <w:trHeight w:val="374"/>
          <w:jc w:val="center"/>
        </w:trPr>
        <w:tc>
          <w:tcPr>
            <w:tcW w:w="6470" w:type="dxa"/>
            <w:gridSpan w:val="2"/>
            <w:vMerge w:val="restart"/>
          </w:tcPr>
          <w:p w14:paraId="6D372799" w14:textId="77777777" w:rsidR="00387E84" w:rsidRPr="008B5C7B" w:rsidRDefault="00387E84" w:rsidP="00387E84">
            <w:pPr>
              <w:pStyle w:val="ListNoNum"/>
              <w:rPr>
                <w:iCs/>
                <w:sz w:val="18"/>
                <w:szCs w:val="18"/>
              </w:rPr>
            </w:pPr>
            <w:r w:rsidRPr="008B5C7B">
              <w:rPr>
                <w:spacing w:val="-4"/>
              </w:rPr>
              <w:t>15.</w:t>
            </w:r>
            <w:r w:rsidRPr="008B5C7B">
              <w:rPr>
                <w:spacing w:val="-4"/>
              </w:rPr>
              <w:tab/>
            </w:r>
            <w:r w:rsidRPr="008B5C7B">
              <w:rPr>
                <w:iCs/>
              </w:rPr>
              <w:t>For standard and expedited authorization decisions, the PIHP may extend the resolution time frame up to an additional 14 calendar days if:</w:t>
            </w:r>
          </w:p>
          <w:p w14:paraId="77F6FBEF" w14:textId="77777777" w:rsidR="00387E84" w:rsidRPr="008B5C7B" w:rsidRDefault="00387E84" w:rsidP="00387E84">
            <w:pPr>
              <w:pStyle w:val="ListNoNum2"/>
              <w:rPr>
                <w:iCs/>
              </w:rPr>
            </w:pPr>
            <w:r w:rsidRPr="008B5C7B">
              <w:lastRenderedPageBreak/>
              <w:t xml:space="preserve">a. </w:t>
            </w:r>
            <w:r w:rsidRPr="008B5C7B">
              <w:tab/>
            </w:r>
            <w:r w:rsidRPr="008B5C7B">
              <w:rPr>
                <w:iCs/>
              </w:rPr>
              <w:t>The member or the provider requests the extension; or</w:t>
            </w:r>
          </w:p>
          <w:p w14:paraId="592BFAA1" w14:textId="77777777" w:rsidR="00387E84" w:rsidRPr="008B5C7B" w:rsidRDefault="00387E84" w:rsidP="00387E84">
            <w:pPr>
              <w:pStyle w:val="ListNoNum2"/>
              <w:rPr>
                <w:iCs/>
                <w:sz w:val="18"/>
                <w:szCs w:val="18"/>
              </w:rPr>
            </w:pPr>
            <w:r w:rsidRPr="008B5C7B">
              <w:t xml:space="preserve">b. </w:t>
            </w:r>
            <w:r w:rsidRPr="008B5C7B">
              <w:tab/>
            </w:r>
            <w:r w:rsidRPr="008B5C7B">
              <w:rPr>
                <w:iCs/>
              </w:rPr>
              <w:t xml:space="preserve">The PIHP justifies </w:t>
            </w:r>
            <w:proofErr w:type="gramStart"/>
            <w:r w:rsidRPr="008B5C7B">
              <w:rPr>
                <w:iCs/>
              </w:rPr>
              <w:t>a need</w:t>
            </w:r>
            <w:proofErr w:type="gramEnd"/>
            <w:r w:rsidRPr="008B5C7B">
              <w:rPr>
                <w:iCs/>
              </w:rPr>
              <w:t xml:space="preserve"> for additional information and how the extension is in the member’s interest.</w:t>
            </w:r>
          </w:p>
          <w:p w14:paraId="073AE79B" w14:textId="77777777" w:rsidR="00387E84" w:rsidRPr="008B5C7B" w:rsidRDefault="00387E84" w:rsidP="00387E84">
            <w:pPr>
              <w:pStyle w:val="HSAGNumbers"/>
              <w:numPr>
                <w:ilvl w:val="0"/>
                <w:numId w:val="0"/>
              </w:numPr>
              <w:ind w:left="360"/>
              <w:contextualSpacing/>
              <w:jc w:val="right"/>
              <w:rPr>
                <w:iCs/>
                <w:sz w:val="18"/>
                <w:szCs w:val="18"/>
              </w:rPr>
            </w:pPr>
          </w:p>
          <w:p w14:paraId="79D3D51C" w14:textId="77777777" w:rsidR="00387E84" w:rsidRPr="008B5C7B" w:rsidRDefault="00387E84" w:rsidP="00387E84">
            <w:pPr>
              <w:pStyle w:val="HSAGNumbers"/>
              <w:numPr>
                <w:ilvl w:val="0"/>
                <w:numId w:val="0"/>
              </w:numPr>
              <w:ind w:left="360"/>
              <w:contextualSpacing/>
              <w:jc w:val="right"/>
              <w:rPr>
                <w:iCs/>
                <w:sz w:val="18"/>
                <w:szCs w:val="18"/>
              </w:rPr>
            </w:pPr>
            <w:r w:rsidRPr="008B5C7B">
              <w:rPr>
                <w:iCs/>
                <w:sz w:val="18"/>
                <w:szCs w:val="18"/>
              </w:rPr>
              <w:t>42 CFR §438.210(d)(1)(</w:t>
            </w:r>
            <w:proofErr w:type="spellStart"/>
            <w:r w:rsidRPr="008B5C7B">
              <w:rPr>
                <w:iCs/>
                <w:sz w:val="18"/>
                <w:szCs w:val="18"/>
              </w:rPr>
              <w:t>i</w:t>
            </w:r>
            <w:proofErr w:type="spellEnd"/>
            <w:r w:rsidRPr="008B5C7B">
              <w:rPr>
                <w:iCs/>
                <w:sz w:val="18"/>
                <w:szCs w:val="18"/>
              </w:rPr>
              <w:t>-ii)</w:t>
            </w:r>
          </w:p>
          <w:p w14:paraId="4EA38F07" w14:textId="77777777" w:rsidR="00387E84" w:rsidRPr="008B5C7B" w:rsidRDefault="00387E84" w:rsidP="00387E84">
            <w:pPr>
              <w:pStyle w:val="HSAGNumbers"/>
              <w:numPr>
                <w:ilvl w:val="0"/>
                <w:numId w:val="0"/>
              </w:numPr>
              <w:ind w:left="360"/>
              <w:contextualSpacing/>
              <w:jc w:val="right"/>
              <w:rPr>
                <w:iCs/>
                <w:sz w:val="18"/>
                <w:szCs w:val="18"/>
              </w:rPr>
            </w:pPr>
            <w:r w:rsidRPr="008B5C7B">
              <w:rPr>
                <w:iCs/>
                <w:sz w:val="18"/>
                <w:szCs w:val="18"/>
              </w:rPr>
              <w:t>42 CFR §438.210(d)(2)(ii)</w:t>
            </w:r>
          </w:p>
          <w:p w14:paraId="73B2E31F" w14:textId="77777777" w:rsidR="00387E84" w:rsidRPr="008B5C7B" w:rsidRDefault="00387E84" w:rsidP="00387E84">
            <w:pPr>
              <w:pStyle w:val="HSAGNumbers"/>
              <w:numPr>
                <w:ilvl w:val="0"/>
                <w:numId w:val="0"/>
              </w:numPr>
              <w:ind w:left="360"/>
              <w:contextualSpacing/>
              <w:jc w:val="right"/>
              <w:rPr>
                <w:sz w:val="18"/>
                <w:szCs w:val="18"/>
              </w:rPr>
            </w:pPr>
            <w:r w:rsidRPr="008B5C7B">
              <w:rPr>
                <w:sz w:val="18"/>
                <w:szCs w:val="18"/>
              </w:rPr>
              <w:t>42 CFR §457.1230(d)</w:t>
            </w:r>
          </w:p>
          <w:p w14:paraId="30C00576" w14:textId="77777777" w:rsidR="00387E84" w:rsidRPr="008B5C7B" w:rsidRDefault="00387E84" w:rsidP="00387E84">
            <w:pPr>
              <w:pStyle w:val="HSAGNumbers"/>
              <w:numPr>
                <w:ilvl w:val="0"/>
                <w:numId w:val="0"/>
              </w:numPr>
              <w:ind w:left="360"/>
              <w:contextualSpacing/>
              <w:jc w:val="right"/>
              <w:rPr>
                <w:sz w:val="18"/>
                <w:szCs w:val="18"/>
              </w:rPr>
            </w:pPr>
            <w:r w:rsidRPr="008B5C7B">
              <w:rPr>
                <w:sz w:val="18"/>
                <w:szCs w:val="18"/>
              </w:rPr>
              <w:t>42 CFR §457.1260(c)(3)</w:t>
            </w:r>
          </w:p>
          <w:p w14:paraId="519E5A9B" w14:textId="77777777" w:rsidR="00387E84" w:rsidRPr="00A732BB" w:rsidRDefault="00387E84" w:rsidP="00387E84">
            <w:pPr>
              <w:pStyle w:val="HSAGNumbers"/>
              <w:numPr>
                <w:ilvl w:val="0"/>
                <w:numId w:val="0"/>
              </w:numPr>
              <w:spacing w:before="0" w:after="0"/>
              <w:ind w:left="360"/>
              <w:contextualSpacing/>
              <w:jc w:val="right"/>
              <w:rPr>
                <w:iCs/>
                <w:sz w:val="18"/>
                <w:szCs w:val="18"/>
              </w:rPr>
            </w:pPr>
            <w:r w:rsidRPr="00A732BB">
              <w:rPr>
                <w:iCs/>
                <w:sz w:val="18"/>
                <w:szCs w:val="18"/>
              </w:rPr>
              <w:t>Contract Schedule A–1(L)(5)(e)</w:t>
            </w:r>
          </w:p>
          <w:p w14:paraId="7F912540" w14:textId="4306C4E0" w:rsidR="00387E84" w:rsidRPr="00903F99" w:rsidRDefault="00387E84" w:rsidP="00387E84">
            <w:pPr>
              <w:pStyle w:val="HSAGTableContracttext"/>
              <w:keepNext/>
              <w:spacing w:before="0" w:after="0"/>
              <w:ind w:left="1440"/>
              <w:contextualSpacing/>
              <w:rPr>
                <w:i w:val="0"/>
                <w:szCs w:val="18"/>
              </w:rPr>
            </w:pPr>
            <w:r w:rsidRPr="00A732BB">
              <w:rPr>
                <w:i w:val="0"/>
                <w:iCs/>
                <w:sz w:val="18"/>
                <w:szCs w:val="18"/>
              </w:rPr>
              <w:t>Appeal and Grievance Resolution Processes Technical Requirement–IV(B)(1)(c)</w:t>
            </w:r>
          </w:p>
        </w:tc>
        <w:tc>
          <w:tcPr>
            <w:tcW w:w="6113" w:type="dxa"/>
            <w:gridSpan w:val="2"/>
            <w:shd w:val="clear" w:color="auto" w:fill="FFFFFF" w:themeFill="background1"/>
          </w:tcPr>
          <w:p w14:paraId="75BB93AC" w14:textId="77777777" w:rsidR="00387E84" w:rsidRPr="008B5C7B" w:rsidRDefault="00387E84" w:rsidP="00387E84">
            <w:pPr>
              <w:pStyle w:val="HSAGTableText"/>
              <w:contextualSpacing/>
              <w:rPr>
                <w:b/>
                <w:bCs/>
              </w:rPr>
            </w:pPr>
            <w:r w:rsidRPr="008B5C7B">
              <w:rPr>
                <w:b/>
                <w:bCs/>
              </w:rPr>
              <w:lastRenderedPageBreak/>
              <w:t>HSAG Required Evidence:</w:t>
            </w:r>
          </w:p>
          <w:p w14:paraId="381D2692" w14:textId="77777777" w:rsidR="00387E84" w:rsidRPr="008B5C7B" w:rsidRDefault="00387E84" w:rsidP="00387E84">
            <w:pPr>
              <w:pStyle w:val="HSAGTableText"/>
              <w:numPr>
                <w:ilvl w:val="0"/>
                <w:numId w:val="40"/>
              </w:numPr>
              <w:spacing w:before="0" w:after="0"/>
              <w:contextualSpacing/>
            </w:pPr>
            <w:r w:rsidRPr="008B5C7B">
              <w:t>Policies and procedures</w:t>
            </w:r>
          </w:p>
          <w:p w14:paraId="515D76E5" w14:textId="77777777" w:rsidR="00387E84" w:rsidRPr="008B5C7B" w:rsidRDefault="00387E84" w:rsidP="00387E84">
            <w:pPr>
              <w:pStyle w:val="HSAGTableText"/>
              <w:numPr>
                <w:ilvl w:val="0"/>
                <w:numId w:val="40"/>
              </w:numPr>
              <w:contextualSpacing/>
            </w:pPr>
            <w:r w:rsidRPr="008B5C7B">
              <w:t>UM program description</w:t>
            </w:r>
          </w:p>
          <w:p w14:paraId="09A71074" w14:textId="77777777" w:rsidR="00387E84" w:rsidRPr="008B5C7B" w:rsidRDefault="00387E84" w:rsidP="00387E84">
            <w:pPr>
              <w:pStyle w:val="HSAGTableText"/>
              <w:numPr>
                <w:ilvl w:val="0"/>
                <w:numId w:val="40"/>
              </w:numPr>
              <w:spacing w:before="0" w:after="0"/>
              <w:contextualSpacing/>
            </w:pPr>
            <w:r w:rsidRPr="008B5C7B">
              <w:lastRenderedPageBreak/>
              <w:t>Tracking and reporting mechanisms</w:t>
            </w:r>
          </w:p>
          <w:p w14:paraId="7DAE5E2C" w14:textId="77777777" w:rsidR="00387E84" w:rsidRDefault="00387E84" w:rsidP="00387E84">
            <w:pPr>
              <w:pStyle w:val="HSAGTableText"/>
              <w:numPr>
                <w:ilvl w:val="0"/>
                <w:numId w:val="40"/>
              </w:numPr>
              <w:spacing w:before="0" w:after="0"/>
              <w:contextualSpacing/>
            </w:pPr>
            <w:r w:rsidRPr="008B5C7B">
              <w:t>Extension notice template</w:t>
            </w:r>
          </w:p>
          <w:p w14:paraId="7E4F0A66" w14:textId="177BA67A" w:rsidR="00387E84" w:rsidRPr="00903F99" w:rsidRDefault="00387E84" w:rsidP="00387E84">
            <w:pPr>
              <w:pStyle w:val="HSAGTableText"/>
              <w:numPr>
                <w:ilvl w:val="0"/>
                <w:numId w:val="40"/>
              </w:numPr>
              <w:spacing w:before="0" w:after="0"/>
              <w:contextualSpacing/>
            </w:pPr>
            <w:r w:rsidRPr="008B5C7B">
              <w:t>HSAG will also use the results of the service authorization denial file review</w:t>
            </w:r>
          </w:p>
        </w:tc>
        <w:tc>
          <w:tcPr>
            <w:tcW w:w="1428" w:type="dxa"/>
            <w:vMerge w:val="restart"/>
            <w:shd w:val="clear" w:color="auto" w:fill="FFFFFF" w:themeFill="background1"/>
          </w:tcPr>
          <w:p w14:paraId="1D99ACD5" w14:textId="77777777" w:rsidR="00387E84" w:rsidRPr="008B5C7B" w:rsidRDefault="00000000" w:rsidP="00387E84">
            <w:pPr>
              <w:spacing w:before="60" w:after="0"/>
              <w:contextualSpacing/>
              <w:rPr>
                <w:sz w:val="22"/>
              </w:rPr>
            </w:pPr>
            <w:sdt>
              <w:sdtPr>
                <w:rPr>
                  <w:sz w:val="22"/>
                </w:rPr>
                <w:id w:val="-241872422"/>
                <w14:checkbox>
                  <w14:checked w14:val="0"/>
                  <w14:checkedState w14:val="2612" w14:font="MS Gothic"/>
                  <w14:uncheckedState w14:val="2610" w14:font="MS Gothic"/>
                </w14:checkbox>
              </w:sdtPr>
              <w:sdtContent>
                <w:r w:rsidR="00387E84" w:rsidRPr="008B5C7B">
                  <w:rPr>
                    <w:rFonts w:ascii="MS Gothic" w:eastAsia="MS Gothic" w:hAnsi="MS Gothic"/>
                    <w:sz w:val="22"/>
                  </w:rPr>
                  <w:t>☐</w:t>
                </w:r>
              </w:sdtContent>
            </w:sdt>
            <w:r w:rsidR="00387E84" w:rsidRPr="008B5C7B">
              <w:rPr>
                <w:sz w:val="22"/>
              </w:rPr>
              <w:t xml:space="preserve"> Met</w:t>
            </w:r>
          </w:p>
          <w:p w14:paraId="2B882FC3" w14:textId="77777777" w:rsidR="00387E84" w:rsidRPr="008B5C7B" w:rsidRDefault="00000000" w:rsidP="00387E84">
            <w:pPr>
              <w:spacing w:before="60" w:after="0"/>
              <w:contextualSpacing/>
              <w:rPr>
                <w:sz w:val="22"/>
              </w:rPr>
            </w:pPr>
            <w:sdt>
              <w:sdtPr>
                <w:rPr>
                  <w:sz w:val="22"/>
                </w:rPr>
                <w:id w:val="1727256775"/>
                <w14:checkbox>
                  <w14:checked w14:val="1"/>
                  <w14:checkedState w14:val="2612" w14:font="MS Gothic"/>
                  <w14:uncheckedState w14:val="2610" w14:font="MS Gothic"/>
                </w14:checkbox>
              </w:sdtPr>
              <w:sdtContent>
                <w:r w:rsidR="00387E84" w:rsidRPr="008B5C7B">
                  <w:rPr>
                    <w:rFonts w:ascii="MS Gothic" w:eastAsia="MS Gothic" w:hAnsi="MS Gothic"/>
                    <w:sz w:val="22"/>
                  </w:rPr>
                  <w:t>☒</w:t>
                </w:r>
              </w:sdtContent>
            </w:sdt>
            <w:r w:rsidR="00387E84" w:rsidRPr="008B5C7B">
              <w:rPr>
                <w:sz w:val="22"/>
              </w:rPr>
              <w:t xml:space="preserve"> Not Met</w:t>
            </w:r>
          </w:p>
          <w:p w14:paraId="229D1127" w14:textId="77777777" w:rsidR="00387E84" w:rsidRPr="008B5C7B" w:rsidRDefault="00000000" w:rsidP="00387E84">
            <w:pPr>
              <w:spacing w:before="60" w:after="0"/>
              <w:contextualSpacing/>
              <w:rPr>
                <w:sz w:val="22"/>
              </w:rPr>
            </w:pPr>
            <w:sdt>
              <w:sdtPr>
                <w:rPr>
                  <w:sz w:val="22"/>
                </w:rPr>
                <w:id w:val="-1135868556"/>
                <w14:checkbox>
                  <w14:checked w14:val="0"/>
                  <w14:checkedState w14:val="2612" w14:font="MS Gothic"/>
                  <w14:uncheckedState w14:val="2610" w14:font="MS Gothic"/>
                </w14:checkbox>
              </w:sdtPr>
              <w:sdtContent>
                <w:r w:rsidR="00387E84" w:rsidRPr="008B5C7B">
                  <w:rPr>
                    <w:rFonts w:ascii="MS Gothic" w:eastAsia="MS Gothic" w:hAnsi="MS Gothic"/>
                    <w:sz w:val="22"/>
                  </w:rPr>
                  <w:t>☐</w:t>
                </w:r>
              </w:sdtContent>
            </w:sdt>
            <w:r w:rsidR="00387E84" w:rsidRPr="008B5C7B">
              <w:rPr>
                <w:sz w:val="22"/>
              </w:rPr>
              <w:t xml:space="preserve"> NA</w:t>
            </w:r>
          </w:p>
          <w:p w14:paraId="394ED887" w14:textId="77777777" w:rsidR="00387E84" w:rsidRPr="00903F99" w:rsidRDefault="00387E84" w:rsidP="00387E84">
            <w:pPr>
              <w:spacing w:before="0" w:after="0"/>
              <w:contextualSpacing/>
              <w:rPr>
                <w:sz w:val="22"/>
              </w:rPr>
            </w:pPr>
          </w:p>
        </w:tc>
      </w:tr>
      <w:tr w:rsidR="00387E84" w:rsidRPr="00903F99" w14:paraId="5BCFB9DD" w14:textId="77777777" w:rsidTr="00753AE4">
        <w:trPr>
          <w:trHeight w:val="374"/>
          <w:jc w:val="center"/>
        </w:trPr>
        <w:tc>
          <w:tcPr>
            <w:tcW w:w="6470" w:type="dxa"/>
            <w:gridSpan w:val="2"/>
            <w:vMerge/>
          </w:tcPr>
          <w:p w14:paraId="37F874E6" w14:textId="77777777" w:rsidR="00387E84" w:rsidRPr="00903F99" w:rsidRDefault="00387E84" w:rsidP="00387E84">
            <w:pPr>
              <w:pStyle w:val="HSAGNumbers"/>
              <w:numPr>
                <w:ilvl w:val="0"/>
                <w:numId w:val="17"/>
              </w:numPr>
              <w:spacing w:before="0" w:after="0"/>
              <w:contextualSpacing/>
            </w:pPr>
          </w:p>
        </w:tc>
        <w:tc>
          <w:tcPr>
            <w:tcW w:w="6113" w:type="dxa"/>
            <w:gridSpan w:val="2"/>
            <w:shd w:val="clear" w:color="auto" w:fill="FFFFFF" w:themeFill="background1"/>
          </w:tcPr>
          <w:p w14:paraId="7EA7B951" w14:textId="77777777" w:rsidR="00387E84" w:rsidRPr="008B5C7B" w:rsidRDefault="00387E84" w:rsidP="00387E84">
            <w:pPr>
              <w:pStyle w:val="HSAGTableText"/>
              <w:contextualSpacing/>
              <w:rPr>
                <w:b/>
                <w:bCs/>
              </w:rPr>
            </w:pPr>
            <w:r w:rsidRPr="008B5C7B">
              <w:rPr>
                <w:b/>
                <w:bCs/>
              </w:rPr>
              <w:t>Evidence as Submitted by the PIHP:</w:t>
            </w:r>
          </w:p>
          <w:p w14:paraId="037D4274" w14:textId="77777777" w:rsidR="00387E84" w:rsidRPr="008B5C7B" w:rsidRDefault="00387E84" w:rsidP="00387E84">
            <w:pPr>
              <w:pStyle w:val="HSAGTableText"/>
              <w:numPr>
                <w:ilvl w:val="0"/>
                <w:numId w:val="40"/>
              </w:numPr>
              <w:contextualSpacing/>
            </w:pPr>
            <w:r w:rsidRPr="008B5C7B">
              <w:t xml:space="preserve">SVI_E15– Grievance and Appeal </w:t>
            </w:r>
            <w:proofErr w:type="spellStart"/>
            <w:r w:rsidRPr="008B5C7B">
              <w:t>Procedure_page</w:t>
            </w:r>
            <w:proofErr w:type="spellEnd"/>
            <w:r w:rsidRPr="008B5C7B">
              <w:t xml:space="preserve"> 1</w:t>
            </w:r>
          </w:p>
          <w:p w14:paraId="776B1083" w14:textId="77777777" w:rsidR="00387E84" w:rsidRPr="008B5C7B" w:rsidRDefault="00387E84" w:rsidP="00387E84">
            <w:pPr>
              <w:pStyle w:val="HSAGTableText"/>
              <w:numPr>
                <w:ilvl w:val="0"/>
                <w:numId w:val="40"/>
              </w:numPr>
              <w:contextualSpacing/>
            </w:pPr>
            <w:r w:rsidRPr="008B5C7B">
              <w:t xml:space="preserve">SVI_E15_Evidence Service </w:t>
            </w:r>
            <w:proofErr w:type="spellStart"/>
            <w:r w:rsidRPr="008B5C7B">
              <w:t>Authorization_page</w:t>
            </w:r>
            <w:proofErr w:type="spellEnd"/>
            <w:r w:rsidRPr="008B5C7B">
              <w:t xml:space="preserve"> 2</w:t>
            </w:r>
          </w:p>
          <w:p w14:paraId="61657084" w14:textId="77777777" w:rsidR="00387E84" w:rsidRPr="008B5C7B" w:rsidRDefault="00387E84" w:rsidP="00387E84">
            <w:pPr>
              <w:pStyle w:val="HSAGTableText"/>
              <w:numPr>
                <w:ilvl w:val="0"/>
                <w:numId w:val="40"/>
              </w:numPr>
              <w:contextualSpacing/>
            </w:pPr>
            <w:r w:rsidRPr="008B5C7B">
              <w:t>SVI_E15_NEMCMH Serv Auth Denials Tracking mechanism</w:t>
            </w:r>
          </w:p>
          <w:p w14:paraId="3F276F56" w14:textId="77777777" w:rsidR="00387E84" w:rsidRDefault="00387E84" w:rsidP="00387E84">
            <w:pPr>
              <w:pStyle w:val="HSAGTableText"/>
              <w:numPr>
                <w:ilvl w:val="0"/>
                <w:numId w:val="40"/>
              </w:numPr>
              <w:contextualSpacing/>
            </w:pPr>
            <w:r w:rsidRPr="008B5C7B">
              <w:t>SVI_E15_NMRE authorization extension tracking form</w:t>
            </w:r>
          </w:p>
          <w:p w14:paraId="51A97B16" w14:textId="5576870A" w:rsidR="00387E84" w:rsidRPr="00903F99" w:rsidRDefault="00387E84" w:rsidP="00387E84">
            <w:pPr>
              <w:pStyle w:val="HSAGTableText"/>
              <w:numPr>
                <w:ilvl w:val="0"/>
                <w:numId w:val="40"/>
              </w:numPr>
              <w:contextualSpacing/>
            </w:pPr>
            <w:r w:rsidRPr="008B5C7B">
              <w:t xml:space="preserve">SVI_E15_NMRE Beneficiary Grievance and Appeals </w:t>
            </w:r>
            <w:proofErr w:type="spellStart"/>
            <w:r w:rsidRPr="008B5C7B">
              <w:t>Policy_page</w:t>
            </w:r>
            <w:proofErr w:type="spellEnd"/>
            <w:r w:rsidRPr="008B5C7B">
              <w:t xml:space="preserve"> 9</w:t>
            </w:r>
          </w:p>
        </w:tc>
        <w:tc>
          <w:tcPr>
            <w:tcW w:w="1428" w:type="dxa"/>
            <w:vMerge/>
            <w:shd w:val="clear" w:color="auto" w:fill="FFFFFF" w:themeFill="background1"/>
          </w:tcPr>
          <w:p w14:paraId="6DE3EB88" w14:textId="77777777" w:rsidR="00387E84" w:rsidRPr="00903F99" w:rsidRDefault="00387E84" w:rsidP="00387E84">
            <w:pPr>
              <w:spacing w:before="0" w:after="0"/>
              <w:contextualSpacing/>
              <w:rPr>
                <w:sz w:val="22"/>
              </w:rPr>
            </w:pPr>
          </w:p>
        </w:tc>
      </w:tr>
      <w:tr w:rsidR="00387E84" w:rsidRPr="00903F99" w14:paraId="48CB9912" w14:textId="77777777" w:rsidTr="00171D87">
        <w:trPr>
          <w:trHeight w:val="374"/>
          <w:jc w:val="center"/>
        </w:trPr>
        <w:tc>
          <w:tcPr>
            <w:tcW w:w="14011" w:type="dxa"/>
            <w:gridSpan w:val="5"/>
            <w:vAlign w:val="center"/>
          </w:tcPr>
          <w:p w14:paraId="4B1A3E0F" w14:textId="70DB8CE6" w:rsidR="00387E84" w:rsidRPr="00903F99" w:rsidRDefault="00387E84" w:rsidP="00387E84">
            <w:pPr>
              <w:pStyle w:val="HSAGTableText"/>
              <w:contextualSpacing/>
            </w:pPr>
            <w:r w:rsidRPr="008B5C7B">
              <w:rPr>
                <w:rStyle w:val="normaltextrun"/>
                <w:b/>
                <w:bCs/>
                <w:color w:val="000000"/>
                <w:shd w:val="clear" w:color="auto" w:fill="FFFFFF"/>
              </w:rPr>
              <w:t>PIHP Description of Process:</w:t>
            </w:r>
            <w:r w:rsidRPr="008B5C7B">
              <w:rPr>
                <w:rStyle w:val="normaltextrun"/>
                <w:color w:val="000000"/>
                <w:shd w:val="clear" w:color="auto" w:fill="FFFFFF"/>
              </w:rPr>
              <w:t xml:space="preserve"> It is very rare NMRE provides extensions, however, we coordinate those closely with providers and they are sole requestors of SUD services with PIHP. </w:t>
            </w:r>
            <w:r w:rsidRPr="008B5C7B">
              <w:rPr>
                <w:rStyle w:val="eop"/>
                <w:color w:val="000000"/>
                <w:shd w:val="clear" w:color="auto" w:fill="FFFFFF"/>
              </w:rPr>
              <w:t> </w:t>
            </w:r>
          </w:p>
        </w:tc>
      </w:tr>
      <w:tr w:rsidR="00387E84" w:rsidRPr="0026679F" w14:paraId="5BAFEB0D" w14:textId="77777777" w:rsidTr="00171D87">
        <w:trPr>
          <w:trHeight w:val="374"/>
          <w:jc w:val="center"/>
        </w:trPr>
        <w:tc>
          <w:tcPr>
            <w:tcW w:w="14011" w:type="dxa"/>
            <w:gridSpan w:val="5"/>
            <w:tcBorders>
              <w:bottom w:val="single" w:sz="4" w:space="0" w:color="000000"/>
            </w:tcBorders>
            <w:vAlign w:val="center"/>
          </w:tcPr>
          <w:p w14:paraId="31B93590" w14:textId="77777777" w:rsidR="00387E84" w:rsidRPr="008B5C7B" w:rsidRDefault="00387E84" w:rsidP="00387E84">
            <w:pPr>
              <w:pStyle w:val="HSAGTableText"/>
              <w:contextualSpacing/>
            </w:pPr>
            <w:r w:rsidRPr="008B5C7B">
              <w:rPr>
                <w:b/>
              </w:rPr>
              <w:t>HSAG Findings:</w:t>
            </w:r>
            <w:r w:rsidRPr="008B5C7B">
              <w:t xml:space="preserve"> The MDHHS denials reporting template included several cases with an extension applied. However, the TAT was reported as 0 or 8 days; therefore, the cases would not have warranted an extension, indicating that either the extension or the TAT was reported inaccurately. The case file review also identified one standard case reported with an extension; however, in review of the record, no documentation was provided to support that an extension was applied. The MDHHS denials reporting template also included one standard case that was reported with an extension applied but was reported as untimely despite the TAT being 20.9 days. With the extension applied, the PIHP would have had 28 days to complete the service authorization request; therefore, this case should have been reported as being timely. The formula from the cell that reports Yes or No for timeliness was missing. If the formula were present, the case would have been reported as being timely. Further, the PIHP explained that its system does not have a standardized field to document when an extension is applied, and tracking TATs is a manual process. Without having reportable data fields, it is unclear how the PIHP can be assured that extensions are being implemented appropriately, TATs are being met, and data reported to MDHHS are accurate. The case file review also confirmed that the PIHP (or CMHSPs) appeared to be confusing and/or intermingling provisions related to untimely service authorization decisions and extensions (refer to Element 12 for additional details). Lastly, HSAG requested that two additional case examples with extensions be submitted after the site review. Specifically, HSAG requested the cases located on Row 2 and Row 425 under Q2 of the MDHHS denials reporting template, which were reported with an extension. However, the PIHP submitted two case examples that were not the requested cases.</w:t>
            </w:r>
          </w:p>
          <w:p w14:paraId="45BC164A" w14:textId="29489F45" w:rsidR="00387E84" w:rsidRPr="0026679F" w:rsidRDefault="00387E84" w:rsidP="00387E84">
            <w:pPr>
              <w:pStyle w:val="HSAGTableText"/>
              <w:spacing w:before="0"/>
            </w:pPr>
            <w:r w:rsidRPr="008B5C7B">
              <w:rPr>
                <w:b/>
                <w:bCs/>
              </w:rPr>
              <w:t xml:space="preserve">Recommendations: </w:t>
            </w:r>
            <w:r w:rsidRPr="008B5C7B">
              <w:t xml:space="preserve">HSAG recommends that the PIHP </w:t>
            </w:r>
            <w:proofErr w:type="gramStart"/>
            <w:r w:rsidRPr="008B5C7B">
              <w:t>review</w:t>
            </w:r>
            <w:proofErr w:type="gramEnd"/>
            <w:r w:rsidRPr="008B5C7B">
              <w:t xml:space="preserve"> its and each CMHSP’s system for limitations related to tracking and reporting service authorization extensions. The PIHP should implement, and require that each CMHSP </w:t>
            </w:r>
            <w:proofErr w:type="gramStart"/>
            <w:r w:rsidRPr="008B5C7B">
              <w:t>implement,</w:t>
            </w:r>
            <w:proofErr w:type="gramEnd"/>
            <w:r w:rsidRPr="008B5C7B">
              <w:t xml:space="preserve"> system enhancements to remediate identified limitations. Additionally, while one case file confirmed that the PIHP understands the extension provisions, there is concern that the CMHSPs do not have a clear understanding of these provisions and how they should be implemented. This also suggests a lack of thorough oversight by the PIHP of its CMHSPs </w:t>
            </w:r>
            <w:r w:rsidRPr="008B5C7B">
              <w:lastRenderedPageBreak/>
              <w:t>regarding these requirements. As such, HSAG recommends that the PIHP conduct a review of each CMHSP’s process and implement performance improvement plans based on the findings of that review.</w:t>
            </w:r>
          </w:p>
        </w:tc>
      </w:tr>
      <w:tr w:rsidR="00387E84" w:rsidRPr="0026679F" w14:paraId="53C24C7C" w14:textId="77777777" w:rsidTr="00171D87">
        <w:trPr>
          <w:trHeight w:val="374"/>
          <w:jc w:val="center"/>
        </w:trPr>
        <w:tc>
          <w:tcPr>
            <w:tcW w:w="14011" w:type="dxa"/>
            <w:gridSpan w:val="5"/>
            <w:tcBorders>
              <w:top w:val="single" w:sz="4" w:space="0" w:color="000000"/>
              <w:bottom w:val="single" w:sz="4" w:space="0" w:color="auto"/>
            </w:tcBorders>
            <w:vAlign w:val="center"/>
          </w:tcPr>
          <w:p w14:paraId="06D92738" w14:textId="6212D841" w:rsidR="00387E84" w:rsidRPr="0026679F" w:rsidRDefault="00387E84" w:rsidP="00387E84">
            <w:pPr>
              <w:pStyle w:val="HSAGTableText"/>
              <w:rPr>
                <w:b/>
              </w:rPr>
            </w:pPr>
            <w:r w:rsidRPr="008B5C7B">
              <w:rPr>
                <w:b/>
              </w:rPr>
              <w:lastRenderedPageBreak/>
              <w:t>Required Actions:</w:t>
            </w:r>
            <w:r w:rsidRPr="008B5C7B">
              <w:t xml:space="preserve"> For standard and expedited authorization decisions, the PIHP may extend the resolution time frame up to an additional 14 calendar days if the member or the provider requests the extension, or the PIHP justifies a need for additional information as well as how the extension is in the member’s interest.</w:t>
            </w:r>
            <w:r>
              <w:t xml:space="preserve"> </w:t>
            </w:r>
            <w:r w:rsidRPr="00576CFC">
              <w:t xml:space="preserve">The PIHP must ensure accurate implementation, documentation, tracking, and reporting of extensions. </w:t>
            </w:r>
          </w:p>
        </w:tc>
      </w:tr>
      <w:tr w:rsidR="00387E84" w:rsidRPr="00D16F05" w14:paraId="0AD969A8"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5FFD1347" w14:textId="77777777" w:rsidR="00387E84" w:rsidRPr="00D16F05" w:rsidRDefault="00387E84" w:rsidP="00387E84">
            <w:pPr>
              <w:pStyle w:val="HSAGTableText"/>
              <w:keepNext/>
              <w:contextualSpacing/>
              <w:rPr>
                <w:b/>
              </w:rPr>
            </w:pPr>
            <w:r>
              <w:rPr>
                <w:b/>
              </w:rPr>
              <w:t>PIHP Corrective Action Plan</w:t>
            </w:r>
          </w:p>
        </w:tc>
      </w:tr>
      <w:tr w:rsidR="00387E84" w:rsidRPr="00984D92" w14:paraId="751BE0BE"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1B703DC" w14:textId="76D016CD" w:rsidR="00387E84" w:rsidRPr="00984D92" w:rsidRDefault="00387E84" w:rsidP="00387E84">
            <w:pPr>
              <w:pStyle w:val="HSAGTableText"/>
              <w:contextualSpacing/>
              <w:rPr>
                <w:bCs/>
              </w:rPr>
            </w:pPr>
            <w:r>
              <w:rPr>
                <w:b/>
              </w:rPr>
              <w:t>Root Cause Analysis:</w:t>
            </w:r>
            <w:r w:rsidRPr="003F5489">
              <w:rPr>
                <w:bCs/>
              </w:rPr>
              <w:t xml:space="preserve"> </w:t>
            </w:r>
            <w:r>
              <w:rPr>
                <w:bCs/>
              </w:rPr>
              <w:t>Lack of understanding and education</w:t>
            </w:r>
          </w:p>
        </w:tc>
      </w:tr>
      <w:tr w:rsidR="00387E84" w:rsidRPr="00FC2C0F" w14:paraId="44A502C1" w14:textId="77777777" w:rsidTr="00F827E9">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shd w:val="clear" w:color="auto" w:fill="auto"/>
          </w:tcPr>
          <w:p w14:paraId="4989C059" w14:textId="6FD71A4D" w:rsidR="00387E84" w:rsidRPr="00FC2C0F" w:rsidRDefault="00F827E9" w:rsidP="00387E84">
            <w:pPr>
              <w:pStyle w:val="HSAGTableText"/>
              <w:contextualSpacing/>
              <w:rPr>
                <w:bCs/>
              </w:rPr>
            </w:pPr>
            <w:r w:rsidRPr="00F827E9">
              <w:rPr>
                <w:b/>
              </w:rPr>
              <w:t>PIHP Remediation Plan:</w:t>
            </w:r>
            <w:r w:rsidRPr="00F827E9">
              <w:rPr>
                <w:bCs/>
              </w:rPr>
              <w:t xml:space="preserve"> </w:t>
            </w:r>
            <w:r w:rsidR="00576CFC">
              <w:rPr>
                <w:bCs/>
              </w:rPr>
              <w:t xml:space="preserve">The NMRE hosted a two-day ABD regional training </w:t>
            </w:r>
            <w:r w:rsidR="00284A0E">
              <w:rPr>
                <w:bCs/>
              </w:rPr>
              <w:t>attended by 100</w:t>
            </w:r>
            <w:r w:rsidR="00576CFC">
              <w:rPr>
                <w:bCs/>
              </w:rPr>
              <w:t xml:space="preserve"> CMHSP staff in January 2025. Additionally, the NMRE will conduct quarterly audits, beginning for 1</w:t>
            </w:r>
            <w:r w:rsidR="00576CFC" w:rsidRPr="00C8682B">
              <w:rPr>
                <w:bCs/>
                <w:vertAlign w:val="superscript"/>
              </w:rPr>
              <w:t>st</w:t>
            </w:r>
            <w:r w:rsidR="00576CFC">
              <w:rPr>
                <w:bCs/>
              </w:rPr>
              <w:t xml:space="preserve"> quarter FY 2025 for ABD requirements and annual site monitoring will be conducted in FY 2025 to ensure the accurate implementation, documentation, tracking and reporting of extensions. NMRE staff are participating in statewide ABD workgroup with PCE to remediate identified issues.</w:t>
            </w:r>
          </w:p>
        </w:tc>
      </w:tr>
      <w:tr w:rsidR="00F827E9" w:rsidRPr="00FC2C0F" w14:paraId="61B0304E"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9677996" w14:textId="06106936" w:rsidR="00F827E9" w:rsidRPr="00FC2C0F" w:rsidRDefault="00F827E9" w:rsidP="00F827E9">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F827E9" w:rsidRPr="00FC2C0F" w14:paraId="2EEEBA22"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3F39FEBF" w14:textId="05AEB74D" w:rsidR="00F827E9" w:rsidRPr="00FC2C0F" w:rsidRDefault="00F827E9" w:rsidP="00F827E9">
            <w:pPr>
              <w:pStyle w:val="HSAGTableText"/>
              <w:contextualSpacing/>
              <w:rPr>
                <w:bCs/>
              </w:rPr>
            </w:pPr>
            <w:r w:rsidRPr="00B30934">
              <w:rPr>
                <w:b/>
              </w:rPr>
              <w:t>Timeline:</w:t>
            </w:r>
            <w:r>
              <w:rPr>
                <w:bCs/>
              </w:rPr>
              <w:t xml:space="preserve"> 9/30/25</w:t>
            </w:r>
          </w:p>
        </w:tc>
      </w:tr>
      <w:tr w:rsidR="00F827E9" w14:paraId="1D13D010"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18" w:space="0" w:color="00549E" w:themeColor="text2"/>
            </w:tcBorders>
            <w:shd w:val="clear" w:color="auto" w:fill="F2F2F2" w:themeFill="background1" w:themeFillShade="F2"/>
          </w:tcPr>
          <w:p w14:paraId="17676E8A" w14:textId="77777777" w:rsidR="00F827E9" w:rsidRPr="00FC2C0F" w:rsidRDefault="00F827E9" w:rsidP="00F827E9">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18" w:space="0" w:color="00549E" w:themeColor="text2"/>
            </w:tcBorders>
            <w:shd w:val="clear" w:color="auto" w:fill="F2F2F2" w:themeFill="background1" w:themeFillShade="F2"/>
          </w:tcPr>
          <w:p w14:paraId="760862D8" w14:textId="77777777" w:rsidR="00F827E9" w:rsidRPr="00C123EE" w:rsidRDefault="00000000" w:rsidP="00F827E9">
            <w:pPr>
              <w:pStyle w:val="HSAGTableText"/>
              <w:contextualSpacing/>
              <w:rPr>
                <w:bCs/>
              </w:rPr>
            </w:pPr>
            <w:sdt>
              <w:sdtPr>
                <w:rPr>
                  <w:bCs/>
                </w:rPr>
                <w:id w:val="764196039"/>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w:t>
            </w:r>
          </w:p>
          <w:p w14:paraId="3AC4F9F2" w14:textId="77777777" w:rsidR="00F827E9" w:rsidRPr="00C123EE" w:rsidRDefault="00000000" w:rsidP="00F827E9">
            <w:pPr>
              <w:pStyle w:val="HSAGTableText"/>
              <w:contextualSpacing/>
              <w:rPr>
                <w:bCs/>
              </w:rPr>
            </w:pPr>
            <w:sdt>
              <w:sdtPr>
                <w:rPr>
                  <w:bCs/>
                </w:rPr>
                <w:id w:val="-1903976502"/>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 </w:t>
            </w:r>
            <w:r w:rsidR="00F827E9">
              <w:rPr>
                <w:bCs/>
              </w:rPr>
              <w:t>W</w:t>
            </w:r>
            <w:r w:rsidR="00F827E9" w:rsidRPr="00C123EE">
              <w:rPr>
                <w:bCs/>
              </w:rPr>
              <w:t>ith Recommendations</w:t>
            </w:r>
          </w:p>
          <w:p w14:paraId="31B58DF5" w14:textId="77777777" w:rsidR="00F827E9" w:rsidRDefault="00000000" w:rsidP="00F827E9">
            <w:pPr>
              <w:pStyle w:val="HSAGTableText"/>
              <w:contextualSpacing/>
              <w:rPr>
                <w:b/>
              </w:rPr>
            </w:pPr>
            <w:sdt>
              <w:sdtPr>
                <w:rPr>
                  <w:bCs/>
                </w:rPr>
                <w:id w:val="1452902419"/>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Not Accepted</w:t>
            </w:r>
          </w:p>
        </w:tc>
      </w:tr>
      <w:tr w:rsidR="00F827E9" w:rsidRPr="00903F99" w14:paraId="60D7D3AB" w14:textId="77777777" w:rsidTr="00753AE4">
        <w:trPr>
          <w:trHeight w:val="374"/>
          <w:jc w:val="center"/>
        </w:trPr>
        <w:tc>
          <w:tcPr>
            <w:tcW w:w="6470" w:type="dxa"/>
            <w:gridSpan w:val="2"/>
            <w:vMerge w:val="restart"/>
          </w:tcPr>
          <w:p w14:paraId="43BA2135" w14:textId="77777777" w:rsidR="00F827E9" w:rsidRPr="008B5C7B" w:rsidRDefault="00F827E9" w:rsidP="00F827E9">
            <w:pPr>
              <w:pStyle w:val="ListNoNum"/>
              <w:rPr>
                <w:iCs/>
              </w:rPr>
            </w:pPr>
            <w:r w:rsidRPr="008B5C7B">
              <w:rPr>
                <w:spacing w:val="-4"/>
              </w:rPr>
              <w:t>16.</w:t>
            </w:r>
            <w:r w:rsidRPr="008B5C7B">
              <w:rPr>
                <w:spacing w:val="-4"/>
              </w:rPr>
              <w:tab/>
            </w:r>
            <w:r w:rsidRPr="008B5C7B">
              <w:rPr>
                <w:iCs/>
              </w:rPr>
              <w:t>If the PIHP meets the criteria set forth for extending the time frame for standard and expedited service authorization decisions consistent with 42 CFR §438.210(d)(1)(ii) and 42 CFR §438.210(d)(2)(ii), it:</w:t>
            </w:r>
          </w:p>
          <w:p w14:paraId="5698BC07" w14:textId="77777777" w:rsidR="00F827E9" w:rsidRPr="008B5C7B" w:rsidRDefault="00F827E9" w:rsidP="00F827E9">
            <w:pPr>
              <w:pStyle w:val="ListNoNum2"/>
              <w:rPr>
                <w:iCs/>
              </w:rPr>
            </w:pPr>
            <w:r w:rsidRPr="008B5C7B">
              <w:t xml:space="preserve">a. </w:t>
            </w:r>
            <w:r w:rsidRPr="008B5C7B">
              <w:tab/>
            </w:r>
            <w:r w:rsidRPr="008B5C7B">
              <w:rPr>
                <w:iCs/>
              </w:rPr>
              <w:t>Gives the member written notice of the reason for the decision to extend the time frame and informs the member of the right to file a grievance if he or she disagrees with that decision; and</w:t>
            </w:r>
          </w:p>
          <w:p w14:paraId="3C724736" w14:textId="77777777" w:rsidR="00F827E9" w:rsidRPr="008B5C7B" w:rsidRDefault="00F827E9" w:rsidP="00F827E9">
            <w:pPr>
              <w:pStyle w:val="ListNoNum2"/>
              <w:rPr>
                <w:iCs/>
              </w:rPr>
            </w:pPr>
            <w:r w:rsidRPr="008B5C7B">
              <w:lastRenderedPageBreak/>
              <w:t xml:space="preserve">b. </w:t>
            </w:r>
            <w:r w:rsidRPr="008B5C7B">
              <w:tab/>
            </w:r>
            <w:r w:rsidRPr="008B5C7B">
              <w:rPr>
                <w:iCs/>
              </w:rPr>
              <w:t>Issues and carries out its determination as expeditiously as the member’s health condition requires and no later than the date the extension expires.</w:t>
            </w:r>
          </w:p>
          <w:p w14:paraId="0722C753" w14:textId="77777777" w:rsidR="00F827E9" w:rsidRPr="008B5C7B" w:rsidRDefault="00F827E9" w:rsidP="00F827E9">
            <w:pPr>
              <w:pStyle w:val="HSAGNumbers"/>
              <w:numPr>
                <w:ilvl w:val="0"/>
                <w:numId w:val="0"/>
              </w:numPr>
              <w:ind w:left="360"/>
              <w:contextualSpacing/>
              <w:jc w:val="right"/>
              <w:rPr>
                <w:iCs/>
                <w:sz w:val="18"/>
                <w:szCs w:val="18"/>
              </w:rPr>
            </w:pPr>
          </w:p>
          <w:p w14:paraId="5C45736C" w14:textId="77777777" w:rsidR="00F827E9" w:rsidRPr="008B5C7B" w:rsidRDefault="00F827E9" w:rsidP="00F827E9">
            <w:pPr>
              <w:pStyle w:val="HSAGNumbers"/>
              <w:numPr>
                <w:ilvl w:val="0"/>
                <w:numId w:val="0"/>
              </w:numPr>
              <w:ind w:left="360"/>
              <w:contextualSpacing/>
              <w:jc w:val="right"/>
              <w:rPr>
                <w:iCs/>
                <w:sz w:val="18"/>
                <w:szCs w:val="18"/>
              </w:rPr>
            </w:pPr>
            <w:r w:rsidRPr="008B5C7B">
              <w:rPr>
                <w:iCs/>
                <w:sz w:val="18"/>
                <w:szCs w:val="18"/>
              </w:rPr>
              <w:t xml:space="preserve">42 CFR §438.210(d)(1)(ii) </w:t>
            </w:r>
          </w:p>
          <w:p w14:paraId="6F69DFE1" w14:textId="77777777" w:rsidR="00F827E9" w:rsidRPr="008B5C7B" w:rsidRDefault="00F827E9" w:rsidP="00F827E9">
            <w:pPr>
              <w:pStyle w:val="HSAGNumbers"/>
              <w:numPr>
                <w:ilvl w:val="0"/>
                <w:numId w:val="0"/>
              </w:numPr>
              <w:ind w:left="360"/>
              <w:contextualSpacing/>
              <w:jc w:val="right"/>
              <w:rPr>
                <w:iCs/>
                <w:sz w:val="18"/>
                <w:szCs w:val="18"/>
              </w:rPr>
            </w:pPr>
            <w:r w:rsidRPr="008B5C7B">
              <w:rPr>
                <w:iCs/>
                <w:sz w:val="18"/>
                <w:szCs w:val="18"/>
              </w:rPr>
              <w:t>42 CFR §438.210(d)(2)(ii)</w:t>
            </w:r>
          </w:p>
          <w:p w14:paraId="4BBEBF49" w14:textId="77777777" w:rsidR="00F827E9" w:rsidRPr="008B5C7B" w:rsidRDefault="00F827E9" w:rsidP="00F827E9">
            <w:pPr>
              <w:pStyle w:val="HSAGNumbers"/>
              <w:numPr>
                <w:ilvl w:val="0"/>
                <w:numId w:val="0"/>
              </w:numPr>
              <w:ind w:left="360"/>
              <w:contextualSpacing/>
              <w:jc w:val="right"/>
              <w:rPr>
                <w:iCs/>
                <w:sz w:val="18"/>
                <w:szCs w:val="18"/>
              </w:rPr>
            </w:pPr>
            <w:r w:rsidRPr="008B5C7B">
              <w:rPr>
                <w:iCs/>
                <w:sz w:val="18"/>
                <w:szCs w:val="18"/>
              </w:rPr>
              <w:t>42 CFR §438.404(c)(4)(</w:t>
            </w:r>
            <w:proofErr w:type="spellStart"/>
            <w:r w:rsidRPr="008B5C7B">
              <w:rPr>
                <w:iCs/>
                <w:sz w:val="18"/>
                <w:szCs w:val="18"/>
              </w:rPr>
              <w:t>i</w:t>
            </w:r>
            <w:proofErr w:type="spellEnd"/>
            <w:r w:rsidRPr="008B5C7B">
              <w:rPr>
                <w:iCs/>
                <w:sz w:val="18"/>
                <w:szCs w:val="18"/>
              </w:rPr>
              <w:t>-ii)</w:t>
            </w:r>
          </w:p>
          <w:p w14:paraId="6FBD39CB" w14:textId="77777777" w:rsidR="00F827E9" w:rsidRPr="008B5C7B" w:rsidRDefault="00F827E9" w:rsidP="00F827E9">
            <w:pPr>
              <w:pStyle w:val="HSAGNumbers"/>
              <w:numPr>
                <w:ilvl w:val="0"/>
                <w:numId w:val="0"/>
              </w:numPr>
              <w:ind w:left="360"/>
              <w:contextualSpacing/>
              <w:jc w:val="right"/>
              <w:rPr>
                <w:sz w:val="18"/>
                <w:szCs w:val="18"/>
              </w:rPr>
            </w:pPr>
            <w:r w:rsidRPr="008B5C7B">
              <w:rPr>
                <w:sz w:val="18"/>
                <w:szCs w:val="18"/>
              </w:rPr>
              <w:t>42 CFR §457.1230(d)</w:t>
            </w:r>
          </w:p>
          <w:p w14:paraId="495F1EA0" w14:textId="77777777" w:rsidR="00F827E9" w:rsidRPr="008B5C7B" w:rsidRDefault="00F827E9" w:rsidP="00F827E9">
            <w:pPr>
              <w:pStyle w:val="HSAGNumbers"/>
              <w:numPr>
                <w:ilvl w:val="0"/>
                <w:numId w:val="0"/>
              </w:numPr>
              <w:spacing w:before="0" w:after="0"/>
              <w:ind w:left="360"/>
              <w:contextualSpacing/>
              <w:jc w:val="right"/>
              <w:rPr>
                <w:iCs/>
                <w:sz w:val="18"/>
                <w:szCs w:val="18"/>
              </w:rPr>
            </w:pPr>
            <w:r w:rsidRPr="008B5C7B">
              <w:rPr>
                <w:iCs/>
                <w:sz w:val="18"/>
                <w:szCs w:val="18"/>
              </w:rPr>
              <w:t>Contract Schedule A–1(L)(5)(e)</w:t>
            </w:r>
          </w:p>
          <w:p w14:paraId="1C21CA69" w14:textId="6126BFF5" w:rsidR="00F827E9" w:rsidRPr="00A732BB" w:rsidRDefault="00F827E9" w:rsidP="00F827E9">
            <w:pPr>
              <w:pStyle w:val="HSAGTableContracttext"/>
              <w:keepNext/>
              <w:spacing w:before="0" w:after="0"/>
              <w:ind w:left="1440"/>
              <w:contextualSpacing/>
              <w:rPr>
                <w:i w:val="0"/>
                <w:iCs/>
                <w:szCs w:val="18"/>
              </w:rPr>
            </w:pPr>
            <w:r w:rsidRPr="00A732BB">
              <w:rPr>
                <w:i w:val="0"/>
                <w:iCs/>
                <w:sz w:val="18"/>
                <w:szCs w:val="18"/>
              </w:rPr>
              <w:t>Appeal and Grievance Resolution Processes Technical Requirement–IV(B)(1)(c)</w:t>
            </w:r>
          </w:p>
        </w:tc>
        <w:tc>
          <w:tcPr>
            <w:tcW w:w="6113" w:type="dxa"/>
            <w:gridSpan w:val="2"/>
            <w:shd w:val="clear" w:color="auto" w:fill="FFFFFF" w:themeFill="background1"/>
          </w:tcPr>
          <w:p w14:paraId="269F000F" w14:textId="77777777" w:rsidR="00F827E9" w:rsidRPr="008B5C7B" w:rsidRDefault="00F827E9" w:rsidP="00F827E9">
            <w:pPr>
              <w:pStyle w:val="HSAGTableText"/>
              <w:contextualSpacing/>
              <w:rPr>
                <w:b/>
                <w:bCs/>
              </w:rPr>
            </w:pPr>
            <w:r w:rsidRPr="008B5C7B">
              <w:rPr>
                <w:b/>
                <w:bCs/>
              </w:rPr>
              <w:lastRenderedPageBreak/>
              <w:t>HSAG Required Evidence:</w:t>
            </w:r>
          </w:p>
          <w:p w14:paraId="3CD20210" w14:textId="77777777" w:rsidR="00F827E9" w:rsidRPr="008B5C7B" w:rsidRDefault="00F827E9" w:rsidP="00F827E9">
            <w:pPr>
              <w:pStyle w:val="HSAGTableText"/>
              <w:numPr>
                <w:ilvl w:val="0"/>
                <w:numId w:val="41"/>
              </w:numPr>
              <w:spacing w:before="0" w:after="0"/>
              <w:contextualSpacing/>
            </w:pPr>
            <w:r w:rsidRPr="008B5C7B">
              <w:t>Policies and procedures</w:t>
            </w:r>
          </w:p>
          <w:p w14:paraId="5FA5E5A5" w14:textId="77777777" w:rsidR="00F827E9" w:rsidRPr="008B5C7B" w:rsidRDefault="00F827E9" w:rsidP="00F827E9">
            <w:pPr>
              <w:pStyle w:val="HSAGTableText"/>
              <w:numPr>
                <w:ilvl w:val="0"/>
                <w:numId w:val="41"/>
              </w:numPr>
              <w:contextualSpacing/>
            </w:pPr>
            <w:r w:rsidRPr="008B5C7B">
              <w:t>UM program description</w:t>
            </w:r>
          </w:p>
          <w:p w14:paraId="7A67CFDE" w14:textId="77777777" w:rsidR="00F827E9" w:rsidRPr="008B5C7B" w:rsidRDefault="00F827E9" w:rsidP="00F827E9">
            <w:pPr>
              <w:pStyle w:val="HSAGTableText"/>
              <w:numPr>
                <w:ilvl w:val="0"/>
                <w:numId w:val="41"/>
              </w:numPr>
              <w:spacing w:before="0" w:after="0"/>
              <w:contextualSpacing/>
            </w:pPr>
            <w:r w:rsidRPr="008B5C7B">
              <w:t>Tracking and reporting mechanisms</w:t>
            </w:r>
          </w:p>
          <w:p w14:paraId="790197C7" w14:textId="77777777" w:rsidR="00F827E9" w:rsidRDefault="00F827E9" w:rsidP="00F827E9">
            <w:pPr>
              <w:pStyle w:val="HSAGTableText"/>
              <w:numPr>
                <w:ilvl w:val="0"/>
                <w:numId w:val="41"/>
              </w:numPr>
              <w:spacing w:before="0" w:after="0"/>
              <w:contextualSpacing/>
            </w:pPr>
            <w:r w:rsidRPr="008B5C7B">
              <w:t xml:space="preserve">Extension </w:t>
            </w:r>
            <w:proofErr w:type="gramStart"/>
            <w:r w:rsidRPr="008B5C7B">
              <w:t>notice</w:t>
            </w:r>
            <w:proofErr w:type="gramEnd"/>
            <w:r w:rsidRPr="008B5C7B">
              <w:t xml:space="preserve"> template(s)</w:t>
            </w:r>
          </w:p>
          <w:p w14:paraId="575ED464" w14:textId="2D9CF221" w:rsidR="00F827E9" w:rsidRPr="00903F99" w:rsidRDefault="00F827E9" w:rsidP="00F827E9">
            <w:pPr>
              <w:pStyle w:val="HSAGTableText"/>
              <w:numPr>
                <w:ilvl w:val="0"/>
                <w:numId w:val="41"/>
              </w:numPr>
              <w:spacing w:before="0" w:after="0"/>
              <w:contextualSpacing/>
            </w:pPr>
            <w:r w:rsidRPr="008B5C7B">
              <w:t>HSAG will also use the results of the service authorization denial file review</w:t>
            </w:r>
          </w:p>
        </w:tc>
        <w:tc>
          <w:tcPr>
            <w:tcW w:w="1428" w:type="dxa"/>
            <w:vMerge w:val="restart"/>
            <w:shd w:val="clear" w:color="auto" w:fill="FFFFFF" w:themeFill="background1"/>
          </w:tcPr>
          <w:p w14:paraId="44EC7155" w14:textId="77777777" w:rsidR="00F827E9" w:rsidRPr="008B5C7B" w:rsidRDefault="00000000" w:rsidP="00F827E9">
            <w:pPr>
              <w:spacing w:before="60" w:after="0"/>
              <w:contextualSpacing/>
              <w:rPr>
                <w:sz w:val="22"/>
              </w:rPr>
            </w:pPr>
            <w:sdt>
              <w:sdtPr>
                <w:rPr>
                  <w:sz w:val="22"/>
                </w:rPr>
                <w:id w:val="-1660919492"/>
                <w14:checkbox>
                  <w14:checked w14:val="0"/>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Met</w:t>
            </w:r>
          </w:p>
          <w:p w14:paraId="3DC4A43E" w14:textId="77777777" w:rsidR="00F827E9" w:rsidRPr="008B5C7B" w:rsidRDefault="00000000" w:rsidP="00F827E9">
            <w:pPr>
              <w:spacing w:before="60" w:after="0"/>
              <w:contextualSpacing/>
              <w:rPr>
                <w:sz w:val="22"/>
              </w:rPr>
            </w:pPr>
            <w:sdt>
              <w:sdtPr>
                <w:rPr>
                  <w:sz w:val="22"/>
                </w:rPr>
                <w:id w:val="-1676420824"/>
                <w14:checkbox>
                  <w14:checked w14:val="1"/>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Not Met</w:t>
            </w:r>
          </w:p>
          <w:p w14:paraId="3BDDBA9C" w14:textId="77777777" w:rsidR="00F827E9" w:rsidRPr="008B5C7B" w:rsidRDefault="00000000" w:rsidP="00F827E9">
            <w:pPr>
              <w:spacing w:before="60" w:after="0"/>
              <w:contextualSpacing/>
              <w:rPr>
                <w:sz w:val="22"/>
              </w:rPr>
            </w:pPr>
            <w:sdt>
              <w:sdtPr>
                <w:rPr>
                  <w:sz w:val="22"/>
                </w:rPr>
                <w:id w:val="768431759"/>
                <w14:checkbox>
                  <w14:checked w14:val="0"/>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NA</w:t>
            </w:r>
          </w:p>
          <w:p w14:paraId="6C06EDA5" w14:textId="77777777" w:rsidR="00F827E9" w:rsidRPr="00903F99" w:rsidRDefault="00F827E9" w:rsidP="00F827E9">
            <w:pPr>
              <w:spacing w:before="0" w:after="0"/>
              <w:contextualSpacing/>
              <w:rPr>
                <w:sz w:val="22"/>
              </w:rPr>
            </w:pPr>
          </w:p>
        </w:tc>
      </w:tr>
      <w:tr w:rsidR="00F827E9" w:rsidRPr="00903F99" w14:paraId="2A9A16F8" w14:textId="77777777" w:rsidTr="00753AE4">
        <w:trPr>
          <w:trHeight w:val="374"/>
          <w:jc w:val="center"/>
        </w:trPr>
        <w:tc>
          <w:tcPr>
            <w:tcW w:w="6470" w:type="dxa"/>
            <w:gridSpan w:val="2"/>
            <w:vMerge/>
          </w:tcPr>
          <w:p w14:paraId="52E0235B" w14:textId="77777777" w:rsidR="00F827E9" w:rsidRPr="00903F99" w:rsidRDefault="00F827E9" w:rsidP="00F827E9">
            <w:pPr>
              <w:pStyle w:val="HSAGNumbers"/>
              <w:numPr>
                <w:ilvl w:val="0"/>
                <w:numId w:val="17"/>
              </w:numPr>
              <w:spacing w:before="0" w:after="0"/>
              <w:contextualSpacing/>
            </w:pPr>
          </w:p>
        </w:tc>
        <w:tc>
          <w:tcPr>
            <w:tcW w:w="6113" w:type="dxa"/>
            <w:gridSpan w:val="2"/>
            <w:shd w:val="clear" w:color="auto" w:fill="FFFFFF" w:themeFill="background1"/>
          </w:tcPr>
          <w:p w14:paraId="444CD594" w14:textId="77777777" w:rsidR="00F827E9" w:rsidRPr="008B5C7B" w:rsidRDefault="00F827E9" w:rsidP="00F827E9">
            <w:pPr>
              <w:pStyle w:val="HSAGTableText"/>
              <w:contextualSpacing/>
              <w:rPr>
                <w:b/>
                <w:bCs/>
              </w:rPr>
            </w:pPr>
            <w:r w:rsidRPr="008B5C7B">
              <w:rPr>
                <w:b/>
                <w:bCs/>
              </w:rPr>
              <w:t>Evidence as Submitted by the PIHP:</w:t>
            </w:r>
          </w:p>
          <w:p w14:paraId="52AA5F9D" w14:textId="77777777" w:rsidR="00F827E9" w:rsidRPr="008B5C7B" w:rsidRDefault="00F827E9" w:rsidP="00F827E9">
            <w:pPr>
              <w:pStyle w:val="HSAGTableText"/>
              <w:numPr>
                <w:ilvl w:val="0"/>
                <w:numId w:val="42"/>
              </w:numPr>
              <w:contextualSpacing/>
            </w:pPr>
            <w:r w:rsidRPr="008B5C7B">
              <w:t>SVI_E16_Communication to provider</w:t>
            </w:r>
          </w:p>
          <w:p w14:paraId="6D22E37F" w14:textId="77777777" w:rsidR="00F827E9" w:rsidRPr="008B5C7B" w:rsidRDefault="00F827E9" w:rsidP="00F827E9">
            <w:pPr>
              <w:pStyle w:val="HSAGTableText"/>
              <w:numPr>
                <w:ilvl w:val="0"/>
                <w:numId w:val="42"/>
              </w:numPr>
              <w:contextualSpacing/>
            </w:pPr>
            <w:r w:rsidRPr="008B5C7B">
              <w:t>SVI_E16_extension call to client</w:t>
            </w:r>
          </w:p>
          <w:p w14:paraId="6E7E7AB1" w14:textId="77777777" w:rsidR="00F827E9" w:rsidRPr="008B5C7B" w:rsidRDefault="00F827E9" w:rsidP="00F827E9">
            <w:pPr>
              <w:pStyle w:val="HSAGTableText"/>
              <w:numPr>
                <w:ilvl w:val="0"/>
                <w:numId w:val="42"/>
              </w:numPr>
              <w:contextualSpacing/>
            </w:pPr>
            <w:r w:rsidRPr="008B5C7B">
              <w:lastRenderedPageBreak/>
              <w:t>SVI_E16_NEMCMH Serv Auth Denials Tracking mechanism</w:t>
            </w:r>
          </w:p>
          <w:p w14:paraId="0535C660" w14:textId="77777777" w:rsidR="00F827E9" w:rsidRPr="008B5C7B" w:rsidRDefault="00F827E9" w:rsidP="00F827E9">
            <w:pPr>
              <w:pStyle w:val="HSAGTableText"/>
              <w:numPr>
                <w:ilvl w:val="0"/>
                <w:numId w:val="42"/>
              </w:numPr>
              <w:contextualSpacing/>
            </w:pPr>
            <w:r w:rsidRPr="008B5C7B">
              <w:t>SVI_E16_NMRE authorization extension tracking form</w:t>
            </w:r>
          </w:p>
          <w:p w14:paraId="7B07FDE7" w14:textId="77777777" w:rsidR="00F827E9" w:rsidRPr="008B5C7B" w:rsidRDefault="00F827E9" w:rsidP="00F827E9">
            <w:pPr>
              <w:pStyle w:val="HSAGTableText"/>
              <w:numPr>
                <w:ilvl w:val="0"/>
                <w:numId w:val="42"/>
              </w:numPr>
              <w:contextualSpacing/>
            </w:pPr>
            <w:r w:rsidRPr="008B5C7B">
              <w:t xml:space="preserve">SVI_E16_NMRE Beneficiary Grievance and Appeals </w:t>
            </w:r>
            <w:proofErr w:type="spellStart"/>
            <w:r w:rsidRPr="008B5C7B">
              <w:t>Policy_page</w:t>
            </w:r>
            <w:proofErr w:type="spellEnd"/>
            <w:r w:rsidRPr="008B5C7B">
              <w:t xml:space="preserve"> 7</w:t>
            </w:r>
          </w:p>
          <w:p w14:paraId="7CA48D7C" w14:textId="77777777" w:rsidR="00F827E9" w:rsidRPr="008B5C7B" w:rsidRDefault="00F827E9" w:rsidP="00F827E9">
            <w:pPr>
              <w:pStyle w:val="HSAGTableText"/>
              <w:numPr>
                <w:ilvl w:val="0"/>
                <w:numId w:val="42"/>
              </w:numPr>
              <w:contextualSpacing/>
            </w:pPr>
            <w:r w:rsidRPr="008B5C7B">
              <w:t>SVI_E16_NMRE Notice of Service Auth Extension Letter Template</w:t>
            </w:r>
          </w:p>
          <w:p w14:paraId="2DCDC9FB" w14:textId="77777777" w:rsidR="00F827E9" w:rsidRDefault="00F827E9" w:rsidP="00F827E9">
            <w:pPr>
              <w:pStyle w:val="HSAGTableText"/>
              <w:numPr>
                <w:ilvl w:val="0"/>
                <w:numId w:val="42"/>
              </w:numPr>
              <w:contextualSpacing/>
            </w:pPr>
            <w:r w:rsidRPr="008B5C7B">
              <w:t>SVI_E16_NMRE Service Auth Extension Letter</w:t>
            </w:r>
          </w:p>
          <w:p w14:paraId="7BB94AE6" w14:textId="6108E889" w:rsidR="00F827E9" w:rsidRPr="00903F99" w:rsidRDefault="00F827E9" w:rsidP="00F827E9">
            <w:pPr>
              <w:pStyle w:val="HSAGTableText"/>
              <w:numPr>
                <w:ilvl w:val="0"/>
                <w:numId w:val="42"/>
              </w:numPr>
              <w:contextualSpacing/>
            </w:pPr>
            <w:r w:rsidRPr="008B5C7B">
              <w:t xml:space="preserve">SVI_E16_Service </w:t>
            </w:r>
            <w:proofErr w:type="spellStart"/>
            <w:r w:rsidRPr="008B5C7B">
              <w:t>Authorization_page</w:t>
            </w:r>
            <w:proofErr w:type="spellEnd"/>
            <w:r w:rsidRPr="008B5C7B">
              <w:t xml:space="preserve"> 1</w:t>
            </w:r>
          </w:p>
        </w:tc>
        <w:tc>
          <w:tcPr>
            <w:tcW w:w="1428" w:type="dxa"/>
            <w:vMerge/>
            <w:shd w:val="clear" w:color="auto" w:fill="FFFFFF" w:themeFill="background1"/>
          </w:tcPr>
          <w:p w14:paraId="0E7B4887" w14:textId="77777777" w:rsidR="00F827E9" w:rsidRPr="00903F99" w:rsidRDefault="00F827E9" w:rsidP="00F827E9">
            <w:pPr>
              <w:spacing w:before="0" w:after="0"/>
              <w:contextualSpacing/>
              <w:rPr>
                <w:sz w:val="22"/>
              </w:rPr>
            </w:pPr>
          </w:p>
        </w:tc>
      </w:tr>
      <w:tr w:rsidR="00F827E9" w:rsidRPr="00903F99" w14:paraId="0751E7A6" w14:textId="77777777" w:rsidTr="00171D87">
        <w:trPr>
          <w:trHeight w:val="374"/>
          <w:jc w:val="center"/>
        </w:trPr>
        <w:tc>
          <w:tcPr>
            <w:tcW w:w="14011" w:type="dxa"/>
            <w:gridSpan w:val="5"/>
            <w:vAlign w:val="center"/>
          </w:tcPr>
          <w:p w14:paraId="746FFD36" w14:textId="39DA9850" w:rsidR="00F827E9" w:rsidRPr="00903F99" w:rsidRDefault="00F827E9" w:rsidP="00F827E9">
            <w:pPr>
              <w:pStyle w:val="HSAGTableText"/>
              <w:contextualSpacing/>
            </w:pPr>
            <w:r w:rsidRPr="008B5C7B">
              <w:rPr>
                <w:b/>
              </w:rPr>
              <w:t>PIHP Description of Process:</w:t>
            </w:r>
            <w:r w:rsidRPr="008B5C7B">
              <w:rPr>
                <w:rStyle w:val="normaltextrun"/>
                <w:color w:val="000000"/>
                <w:shd w:val="clear" w:color="auto" w:fill="FFFFFF"/>
              </w:rPr>
              <w:t xml:space="preserve"> It is </w:t>
            </w:r>
            <w:r w:rsidRPr="00CC74C5">
              <w:t>very</w:t>
            </w:r>
            <w:r w:rsidRPr="008B5C7B">
              <w:rPr>
                <w:rStyle w:val="normaltextrun"/>
                <w:color w:val="000000"/>
                <w:shd w:val="clear" w:color="auto" w:fill="FFFFFF"/>
              </w:rPr>
              <w:t xml:space="preserve"> rare NMRE provides extensions, however, we coordinate those closely with providers and they are sole requestors of SUD services with PIHP.</w:t>
            </w:r>
          </w:p>
        </w:tc>
      </w:tr>
      <w:tr w:rsidR="00F827E9" w:rsidRPr="0026679F" w14:paraId="1A18205E" w14:textId="77777777" w:rsidTr="00171D87">
        <w:trPr>
          <w:trHeight w:val="374"/>
          <w:jc w:val="center"/>
        </w:trPr>
        <w:tc>
          <w:tcPr>
            <w:tcW w:w="14011" w:type="dxa"/>
            <w:gridSpan w:val="5"/>
            <w:tcBorders>
              <w:bottom w:val="single" w:sz="4" w:space="0" w:color="000000"/>
            </w:tcBorders>
            <w:vAlign w:val="center"/>
          </w:tcPr>
          <w:p w14:paraId="12120444" w14:textId="77777777" w:rsidR="00F827E9" w:rsidRPr="008B5C7B" w:rsidRDefault="00F827E9" w:rsidP="00F827E9">
            <w:pPr>
              <w:pStyle w:val="HSAGTableText"/>
              <w:contextualSpacing/>
            </w:pPr>
            <w:r w:rsidRPr="008B5C7B">
              <w:rPr>
                <w:b/>
              </w:rPr>
              <w:t>HSAG Findings:</w:t>
            </w:r>
            <w:r w:rsidRPr="008B5C7B">
              <w:t xml:space="preserve"> While the case file review confirmed the PIHP provided oral and written notice with grievance rights when an extension is applied, due to the potential concerns for how the CMHSPs were implementing the extension provisions, HSAG requested that two additional case examples with extensions be submitted after the site review. Specifically, HSAG requested the cases located on Row 2 and Row 425 under Q2 of the MDHHS Denials Reporting Template which were reported with an extension. However, the PIHP submitted two case examples that were not the requested cases. Therefore, HSAG was unable to adequately assess the requirements of this element. Additionally, the case file review and the </w:t>
            </w:r>
            <w:r w:rsidRPr="008B5C7B">
              <w:rPr>
                <w:i/>
                <w:iCs/>
              </w:rPr>
              <w:t>NMRE Service Auth Extension Letter</w:t>
            </w:r>
            <w:r w:rsidRPr="008B5C7B">
              <w:t xml:space="preserve"> confirmed that only the authorization numbers were being included in the extension notice to the member but did not identify the service(s) in question which is not appropriate for a member-facing notice as the PIHP cannot assume a member will know what the authorization numbers relate to.</w:t>
            </w:r>
          </w:p>
          <w:p w14:paraId="6C30757D" w14:textId="583A57F4" w:rsidR="00F827E9" w:rsidRPr="0026679F" w:rsidRDefault="00F827E9" w:rsidP="00F827E9">
            <w:pPr>
              <w:pStyle w:val="HSAGTableText"/>
              <w:spacing w:before="0"/>
            </w:pPr>
            <w:r w:rsidRPr="008B5C7B">
              <w:rPr>
                <w:b/>
                <w:bCs/>
              </w:rPr>
              <w:t>Recommendations:</w:t>
            </w:r>
            <w:r w:rsidRPr="008B5C7B">
              <w:t xml:space="preserve"> The PIHP’s extension notice included the following template language: “…We have also tried to call you to let you know we need more time.” As this exact language may not apply to each scenario; for example, when the PIHP was able to successfully make oral contact with the member, HSAG recommends that the PIHP ensure that this section of the template is updated when indicated. Additionally, the notice informed members of grievance rights if they do not agree with “our choice.” However, HSAG recommends that the PIHP update this template language to ensure that it is clear to members that they have grievance rights if they do not agree with the PIHP’s decision to extend the service authorization time frame.</w:t>
            </w:r>
          </w:p>
        </w:tc>
      </w:tr>
      <w:tr w:rsidR="00F827E9" w:rsidRPr="0026679F" w14:paraId="1C12DC1B" w14:textId="77777777" w:rsidTr="00171D87">
        <w:trPr>
          <w:trHeight w:val="374"/>
          <w:jc w:val="center"/>
        </w:trPr>
        <w:tc>
          <w:tcPr>
            <w:tcW w:w="14011" w:type="dxa"/>
            <w:gridSpan w:val="5"/>
            <w:tcBorders>
              <w:top w:val="single" w:sz="4" w:space="0" w:color="000000"/>
              <w:bottom w:val="single" w:sz="4" w:space="0" w:color="auto"/>
            </w:tcBorders>
            <w:vAlign w:val="center"/>
          </w:tcPr>
          <w:p w14:paraId="2A9E759D" w14:textId="514D0EC5" w:rsidR="00F827E9" w:rsidRPr="0026679F" w:rsidRDefault="00F827E9" w:rsidP="00F827E9">
            <w:pPr>
              <w:pStyle w:val="HSAGTableText"/>
              <w:rPr>
                <w:b/>
              </w:rPr>
            </w:pPr>
            <w:r w:rsidRPr="008B5C7B">
              <w:rPr>
                <w:b/>
              </w:rPr>
              <w:t>Required Actions:</w:t>
            </w:r>
            <w:r w:rsidRPr="008B5C7B">
              <w:t xml:space="preserve"> If the PIHP meets the criteria set forth for extending the time frame for standard and expedited service authorization decisions consistent with 42 CFR §438.210(d)(1)(ii) and 42 CFR §438.210(d)(2)(ii), it must give the member oral notice of the extension and written notice of the reason for the decision to extend the time frame and inform the member of the right to file a grievance if he or she disagrees with that decision.</w:t>
            </w:r>
          </w:p>
        </w:tc>
      </w:tr>
      <w:tr w:rsidR="00F827E9" w:rsidRPr="00D16F05" w14:paraId="0C5C6C2C"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1A92CA02" w14:textId="77777777" w:rsidR="00F827E9" w:rsidRPr="00D16F05" w:rsidRDefault="00F827E9" w:rsidP="00F827E9">
            <w:pPr>
              <w:pStyle w:val="HSAGTableText"/>
              <w:keepNext/>
              <w:contextualSpacing/>
              <w:rPr>
                <w:b/>
              </w:rPr>
            </w:pPr>
            <w:r>
              <w:rPr>
                <w:b/>
              </w:rPr>
              <w:t>PIHP Corrective Action Plan</w:t>
            </w:r>
          </w:p>
        </w:tc>
      </w:tr>
      <w:tr w:rsidR="00F827E9" w:rsidRPr="00984D92" w14:paraId="523F0F29"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0AE855D" w14:textId="53B8EABB" w:rsidR="00F827E9" w:rsidRPr="00984D92" w:rsidRDefault="00F827E9" w:rsidP="00F827E9">
            <w:pPr>
              <w:pStyle w:val="HSAGTableText"/>
              <w:contextualSpacing/>
              <w:rPr>
                <w:bCs/>
              </w:rPr>
            </w:pPr>
            <w:r>
              <w:rPr>
                <w:b/>
              </w:rPr>
              <w:t>Root Cause Analysis:</w:t>
            </w:r>
            <w:r w:rsidRPr="003F5489">
              <w:rPr>
                <w:bCs/>
              </w:rPr>
              <w:t xml:space="preserve"> </w:t>
            </w:r>
            <w:r w:rsidR="00BB160F">
              <w:rPr>
                <w:bCs/>
              </w:rPr>
              <w:t>Lack of education and knowledge</w:t>
            </w:r>
          </w:p>
        </w:tc>
      </w:tr>
      <w:tr w:rsidR="00F827E9" w:rsidRPr="00FC2C0F" w14:paraId="15534B3B"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58357195" w14:textId="73C8F5F0" w:rsidR="00F827E9" w:rsidRPr="00FC2C0F" w:rsidRDefault="00F827E9" w:rsidP="00F827E9">
            <w:pPr>
              <w:pStyle w:val="HSAGTableText"/>
              <w:contextualSpacing/>
              <w:rPr>
                <w:bCs/>
              </w:rPr>
            </w:pPr>
            <w:r>
              <w:rPr>
                <w:b/>
              </w:rPr>
              <w:lastRenderedPageBreak/>
              <w:t>PIHP Remediation Plan</w:t>
            </w:r>
            <w:r w:rsidRPr="00B30934">
              <w:rPr>
                <w:b/>
              </w:rPr>
              <w:t>:</w:t>
            </w:r>
            <w:r w:rsidR="00BB160F" w:rsidRPr="00F827E9">
              <w:rPr>
                <w:bCs/>
              </w:rPr>
              <w:t xml:space="preserve"> </w:t>
            </w:r>
            <w:r w:rsidR="00576CFC">
              <w:rPr>
                <w:bCs/>
              </w:rPr>
              <w:t xml:space="preserve">The NMRE hosted a two-day ABD regional training </w:t>
            </w:r>
            <w:r w:rsidR="00284A0E">
              <w:rPr>
                <w:bCs/>
              </w:rPr>
              <w:t xml:space="preserve">attended by 100 </w:t>
            </w:r>
            <w:r w:rsidR="00576CFC">
              <w:rPr>
                <w:bCs/>
              </w:rPr>
              <w:t xml:space="preserve">CMHSP staff in January 2025. Additionally, the NMRE will conduct quarterly audits, beginning </w:t>
            </w:r>
            <w:r w:rsidR="0009202C">
              <w:rPr>
                <w:bCs/>
              </w:rPr>
              <w:t>in</w:t>
            </w:r>
            <w:r w:rsidR="00576CFC">
              <w:rPr>
                <w:bCs/>
              </w:rPr>
              <w:t xml:space="preserve"> 1</w:t>
            </w:r>
            <w:r w:rsidR="00576CFC" w:rsidRPr="00C8682B">
              <w:rPr>
                <w:bCs/>
                <w:vertAlign w:val="superscript"/>
              </w:rPr>
              <w:t>st</w:t>
            </w:r>
            <w:r w:rsidR="00576CFC">
              <w:rPr>
                <w:bCs/>
              </w:rPr>
              <w:t xml:space="preserve"> quarter FY 2025 for ABD requirements and annual site monitoring</w:t>
            </w:r>
            <w:r w:rsidR="0009202C">
              <w:rPr>
                <w:bCs/>
              </w:rPr>
              <w:t xml:space="preserve"> to ensure that</w:t>
            </w:r>
            <w:r w:rsidR="00576CFC">
              <w:rPr>
                <w:bCs/>
              </w:rPr>
              <w:t xml:space="preserve"> </w:t>
            </w:r>
            <w:r w:rsidR="0009202C">
              <w:t>i</w:t>
            </w:r>
            <w:r w:rsidR="0009202C" w:rsidRPr="008B5C7B">
              <w:t>f the PIHP meets the criteria set forth for extending the time frame for standard and expedited service authorization decisions consistent with 42 CFR §438.210(d)(1)(ii) and 42 CFR §438.210(d)(2)(ii), it must give the member oral notice of the extension and written notice of the reason for the decision to extend the time frame and inform the member of the right to file a grievance if he or she disagrees with that decision</w:t>
            </w:r>
            <w:r w:rsidR="0009202C">
              <w:t xml:space="preserve">. </w:t>
            </w:r>
            <w:r w:rsidR="00576CFC">
              <w:rPr>
                <w:bCs/>
              </w:rPr>
              <w:t>NMRE staff are participating in statewide ABD workgroup with PCE to remediate identified issues.</w:t>
            </w:r>
          </w:p>
        </w:tc>
      </w:tr>
      <w:tr w:rsidR="00F827E9" w:rsidRPr="00FC2C0F" w14:paraId="576EB3DE"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779D1B4" w14:textId="3644D64C" w:rsidR="00F827E9" w:rsidRPr="00FC2C0F" w:rsidRDefault="00F827E9" w:rsidP="00F827E9">
            <w:pPr>
              <w:pStyle w:val="HSAGTableText"/>
              <w:contextualSpacing/>
              <w:rPr>
                <w:bCs/>
              </w:rPr>
            </w:pPr>
            <w:r w:rsidRPr="00B30934">
              <w:rPr>
                <w:b/>
              </w:rPr>
              <w:t>Responsible Individual(s):</w:t>
            </w:r>
            <w:r>
              <w:rPr>
                <w:bCs/>
              </w:rPr>
              <w:t xml:space="preserve"> Brie Blaauw-Molaison, Compliance and Customer Services Officer/Regional SUD Recipient Rights Officer</w:t>
            </w:r>
          </w:p>
        </w:tc>
      </w:tr>
      <w:tr w:rsidR="00F827E9" w:rsidRPr="00FC2C0F" w14:paraId="3F57CA3D"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4CF71E72" w14:textId="6C5E4A35" w:rsidR="00F827E9" w:rsidRPr="00FC2C0F" w:rsidRDefault="00F827E9" w:rsidP="00F827E9">
            <w:pPr>
              <w:pStyle w:val="HSAGTableText"/>
              <w:contextualSpacing/>
              <w:rPr>
                <w:bCs/>
              </w:rPr>
            </w:pPr>
            <w:r w:rsidRPr="00B30934">
              <w:rPr>
                <w:b/>
              </w:rPr>
              <w:t>Timeline:</w:t>
            </w:r>
            <w:r>
              <w:rPr>
                <w:bCs/>
              </w:rPr>
              <w:t xml:space="preserve"> 9/30/25</w:t>
            </w:r>
          </w:p>
        </w:tc>
      </w:tr>
      <w:tr w:rsidR="00F827E9" w14:paraId="62C092CD"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18" w:space="0" w:color="00549E" w:themeColor="text2"/>
            </w:tcBorders>
            <w:shd w:val="clear" w:color="auto" w:fill="F2F2F2" w:themeFill="background1" w:themeFillShade="F2"/>
          </w:tcPr>
          <w:p w14:paraId="25F6634C" w14:textId="77777777" w:rsidR="00F827E9" w:rsidRPr="00FC2C0F" w:rsidRDefault="00F827E9" w:rsidP="00F827E9">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18" w:space="0" w:color="00549E" w:themeColor="text2"/>
            </w:tcBorders>
            <w:shd w:val="clear" w:color="auto" w:fill="F2F2F2" w:themeFill="background1" w:themeFillShade="F2"/>
          </w:tcPr>
          <w:p w14:paraId="784C2BFA" w14:textId="77777777" w:rsidR="00F827E9" w:rsidRPr="00C123EE" w:rsidRDefault="00000000" w:rsidP="00F827E9">
            <w:pPr>
              <w:pStyle w:val="HSAGTableText"/>
              <w:contextualSpacing/>
              <w:rPr>
                <w:bCs/>
              </w:rPr>
            </w:pPr>
            <w:sdt>
              <w:sdtPr>
                <w:rPr>
                  <w:bCs/>
                </w:rPr>
                <w:id w:val="-1700311791"/>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w:t>
            </w:r>
          </w:p>
          <w:p w14:paraId="1D402011" w14:textId="77777777" w:rsidR="00F827E9" w:rsidRPr="00C123EE" w:rsidRDefault="00000000" w:rsidP="00F827E9">
            <w:pPr>
              <w:pStyle w:val="HSAGTableText"/>
              <w:contextualSpacing/>
              <w:rPr>
                <w:bCs/>
              </w:rPr>
            </w:pPr>
            <w:sdt>
              <w:sdtPr>
                <w:rPr>
                  <w:bCs/>
                </w:rPr>
                <w:id w:val="-554928799"/>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 </w:t>
            </w:r>
            <w:r w:rsidR="00F827E9">
              <w:rPr>
                <w:bCs/>
              </w:rPr>
              <w:t>W</w:t>
            </w:r>
            <w:r w:rsidR="00F827E9" w:rsidRPr="00C123EE">
              <w:rPr>
                <w:bCs/>
              </w:rPr>
              <w:t>ith Recommendations</w:t>
            </w:r>
          </w:p>
          <w:p w14:paraId="401AE499" w14:textId="77777777" w:rsidR="00F827E9" w:rsidRDefault="00000000" w:rsidP="00F827E9">
            <w:pPr>
              <w:pStyle w:val="HSAGTableText"/>
              <w:contextualSpacing/>
              <w:rPr>
                <w:b/>
              </w:rPr>
            </w:pPr>
            <w:sdt>
              <w:sdtPr>
                <w:rPr>
                  <w:bCs/>
                </w:rPr>
                <w:id w:val="1619723452"/>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Not Accepted</w:t>
            </w:r>
          </w:p>
        </w:tc>
      </w:tr>
      <w:tr w:rsidR="00F827E9" w:rsidRPr="00903F99" w14:paraId="075AE670" w14:textId="77777777" w:rsidTr="00753AE4">
        <w:trPr>
          <w:trHeight w:val="374"/>
          <w:jc w:val="center"/>
        </w:trPr>
        <w:tc>
          <w:tcPr>
            <w:tcW w:w="6470" w:type="dxa"/>
            <w:gridSpan w:val="2"/>
            <w:vMerge w:val="restart"/>
          </w:tcPr>
          <w:p w14:paraId="7E577B1A" w14:textId="77777777" w:rsidR="00F827E9" w:rsidRPr="008B5C7B" w:rsidRDefault="00F827E9" w:rsidP="00F827E9">
            <w:pPr>
              <w:pStyle w:val="ListNoNum"/>
              <w:keepNext/>
              <w:pageBreakBefore/>
              <w:rPr>
                <w:iCs/>
                <w:sz w:val="18"/>
                <w:szCs w:val="18"/>
              </w:rPr>
            </w:pPr>
            <w:r w:rsidRPr="008B5C7B">
              <w:rPr>
                <w:spacing w:val="-4"/>
              </w:rPr>
              <w:lastRenderedPageBreak/>
              <w:t>22.</w:t>
            </w:r>
            <w:r w:rsidRPr="008B5C7B">
              <w:rPr>
                <w:spacing w:val="-4"/>
              </w:rPr>
              <w:tab/>
            </w:r>
            <w:r w:rsidRPr="008B5C7B">
              <w:rPr>
                <w:rStyle w:val="normaltextrun"/>
                <w:color w:val="000000"/>
                <w:shd w:val="clear" w:color="auto" w:fill="FFFFFF"/>
              </w:rPr>
              <w:t>For standard and expedited service authorization decisions not reached within the required time frames specified in 42</w:t>
            </w:r>
            <w:r w:rsidRPr="008B5C7B">
              <w:t> </w:t>
            </w:r>
            <w:r w:rsidRPr="008B5C7B">
              <w:rPr>
                <w:rStyle w:val="normaltextrun"/>
                <w:color w:val="000000"/>
                <w:shd w:val="clear" w:color="auto" w:fill="FFFFFF"/>
              </w:rPr>
              <w:t>CFR §438.210(d) (which constitutes a denial and is thus an ABD), the PIHP provides notice on the date that the time frames expire.</w:t>
            </w:r>
            <w:r w:rsidRPr="008B5C7B">
              <w:rPr>
                <w:rStyle w:val="eop"/>
                <w:color w:val="000000"/>
                <w:shd w:val="clear" w:color="auto" w:fill="FFFFFF"/>
              </w:rPr>
              <w:t> </w:t>
            </w:r>
          </w:p>
          <w:p w14:paraId="7D1A818A" w14:textId="77777777" w:rsidR="00F827E9" w:rsidRPr="008B5C7B" w:rsidRDefault="00F827E9" w:rsidP="00F827E9">
            <w:pPr>
              <w:pStyle w:val="HSAGNumbers"/>
              <w:numPr>
                <w:ilvl w:val="0"/>
                <w:numId w:val="0"/>
              </w:numPr>
              <w:ind w:left="360"/>
              <w:contextualSpacing/>
              <w:jc w:val="right"/>
              <w:rPr>
                <w:iCs/>
                <w:sz w:val="18"/>
                <w:szCs w:val="18"/>
              </w:rPr>
            </w:pPr>
          </w:p>
          <w:p w14:paraId="7CE876F4" w14:textId="77777777" w:rsidR="00F827E9" w:rsidRPr="008B5C7B" w:rsidRDefault="00F827E9" w:rsidP="00F827E9">
            <w:pPr>
              <w:pStyle w:val="HSAGNumbers"/>
              <w:numPr>
                <w:ilvl w:val="0"/>
                <w:numId w:val="0"/>
              </w:numPr>
              <w:ind w:left="360"/>
              <w:contextualSpacing/>
              <w:jc w:val="right"/>
              <w:rPr>
                <w:rStyle w:val="normaltextrun"/>
                <w:color w:val="000000"/>
                <w:sz w:val="18"/>
                <w:szCs w:val="18"/>
                <w:shd w:val="clear" w:color="auto" w:fill="FFFFFF"/>
              </w:rPr>
            </w:pPr>
            <w:r w:rsidRPr="008B5C7B">
              <w:rPr>
                <w:rStyle w:val="normaltextrun"/>
                <w:color w:val="000000"/>
                <w:sz w:val="18"/>
                <w:szCs w:val="18"/>
                <w:shd w:val="clear" w:color="auto" w:fill="FFFFFF"/>
              </w:rPr>
              <w:t>42 CFR §438.210(c-d)</w:t>
            </w:r>
          </w:p>
          <w:p w14:paraId="7D28572A" w14:textId="77777777" w:rsidR="00F827E9" w:rsidRPr="008B5C7B" w:rsidRDefault="00F827E9" w:rsidP="00F827E9">
            <w:pPr>
              <w:pStyle w:val="HSAGNumbers"/>
              <w:numPr>
                <w:ilvl w:val="0"/>
                <w:numId w:val="0"/>
              </w:numPr>
              <w:ind w:left="360"/>
              <w:contextualSpacing/>
              <w:jc w:val="right"/>
              <w:rPr>
                <w:rStyle w:val="eop"/>
                <w:color w:val="000000"/>
                <w:sz w:val="18"/>
                <w:szCs w:val="18"/>
                <w:shd w:val="clear" w:color="auto" w:fill="FFFFFF"/>
              </w:rPr>
            </w:pPr>
            <w:r w:rsidRPr="008B5C7B">
              <w:rPr>
                <w:rStyle w:val="normaltextrun"/>
                <w:color w:val="000000"/>
                <w:sz w:val="18"/>
                <w:szCs w:val="18"/>
                <w:shd w:val="clear" w:color="auto" w:fill="FFFFFF"/>
              </w:rPr>
              <w:t>42 CFR §438.404(c)(5)</w:t>
            </w:r>
          </w:p>
          <w:p w14:paraId="0FA4CF16" w14:textId="77777777" w:rsidR="00F827E9" w:rsidRPr="008B5C7B" w:rsidRDefault="00F827E9" w:rsidP="00F827E9">
            <w:pPr>
              <w:pStyle w:val="HSAGNumbers"/>
              <w:numPr>
                <w:ilvl w:val="0"/>
                <w:numId w:val="0"/>
              </w:numPr>
              <w:ind w:left="360"/>
              <w:contextualSpacing/>
              <w:jc w:val="right"/>
              <w:rPr>
                <w:sz w:val="18"/>
                <w:szCs w:val="18"/>
              </w:rPr>
            </w:pPr>
            <w:r w:rsidRPr="008B5C7B">
              <w:rPr>
                <w:sz w:val="18"/>
                <w:szCs w:val="18"/>
              </w:rPr>
              <w:t>42 CFR §457.1230(d)</w:t>
            </w:r>
          </w:p>
          <w:p w14:paraId="40A936F7" w14:textId="77777777" w:rsidR="00F827E9" w:rsidRPr="008B5C7B" w:rsidRDefault="00F827E9" w:rsidP="00F827E9">
            <w:pPr>
              <w:pStyle w:val="HSAGNumbers"/>
              <w:numPr>
                <w:ilvl w:val="0"/>
                <w:numId w:val="0"/>
              </w:numPr>
              <w:ind w:left="360"/>
              <w:contextualSpacing/>
              <w:jc w:val="right"/>
              <w:rPr>
                <w:iCs/>
                <w:sz w:val="18"/>
                <w:szCs w:val="18"/>
              </w:rPr>
            </w:pPr>
            <w:r w:rsidRPr="008B5C7B">
              <w:rPr>
                <w:iCs/>
                <w:sz w:val="18"/>
                <w:szCs w:val="18"/>
              </w:rPr>
              <w:t>Contract Schedule A–1(L)(5)(f)</w:t>
            </w:r>
          </w:p>
          <w:p w14:paraId="36AE6F82" w14:textId="77777777" w:rsidR="00F827E9" w:rsidRPr="008B5C7B" w:rsidRDefault="00F827E9" w:rsidP="00F827E9">
            <w:pPr>
              <w:pStyle w:val="HSAGNumbers"/>
              <w:numPr>
                <w:ilvl w:val="0"/>
                <w:numId w:val="0"/>
              </w:numPr>
              <w:ind w:left="360"/>
              <w:contextualSpacing/>
              <w:jc w:val="right"/>
              <w:rPr>
                <w:iCs/>
                <w:sz w:val="18"/>
                <w:szCs w:val="18"/>
              </w:rPr>
            </w:pPr>
            <w:r w:rsidRPr="008B5C7B">
              <w:rPr>
                <w:sz w:val="18"/>
                <w:szCs w:val="18"/>
              </w:rPr>
              <w:t>Appeal and Grievance Resolution Processes Technical Requirement–IV(B)(1)(c)</w:t>
            </w:r>
          </w:p>
          <w:p w14:paraId="5CF89688" w14:textId="77777777" w:rsidR="00F827E9" w:rsidRPr="008B5C7B" w:rsidRDefault="00F827E9" w:rsidP="00F827E9">
            <w:pPr>
              <w:pStyle w:val="HSAGNumbers"/>
              <w:numPr>
                <w:ilvl w:val="0"/>
                <w:numId w:val="0"/>
              </w:numPr>
              <w:ind w:left="360"/>
              <w:contextualSpacing/>
              <w:jc w:val="right"/>
              <w:rPr>
                <w:sz w:val="18"/>
                <w:szCs w:val="18"/>
              </w:rPr>
            </w:pPr>
          </w:p>
          <w:p w14:paraId="10CCBEC8" w14:textId="77777777" w:rsidR="00F827E9" w:rsidRPr="00903F99" w:rsidRDefault="00F827E9" w:rsidP="00F827E9">
            <w:pPr>
              <w:pStyle w:val="HSAGTableContracttext"/>
              <w:keepNext/>
              <w:spacing w:before="0" w:after="0"/>
              <w:ind w:left="1440"/>
              <w:contextualSpacing/>
              <w:rPr>
                <w:i w:val="0"/>
                <w:szCs w:val="18"/>
              </w:rPr>
            </w:pPr>
          </w:p>
        </w:tc>
        <w:tc>
          <w:tcPr>
            <w:tcW w:w="6113" w:type="dxa"/>
            <w:gridSpan w:val="2"/>
            <w:shd w:val="clear" w:color="auto" w:fill="FFFFFF" w:themeFill="background1"/>
          </w:tcPr>
          <w:p w14:paraId="47B3C41C" w14:textId="77777777" w:rsidR="00F827E9" w:rsidRPr="008B5C7B" w:rsidRDefault="00F827E9" w:rsidP="00F827E9">
            <w:pPr>
              <w:pStyle w:val="HSAGTableText"/>
              <w:contextualSpacing/>
              <w:rPr>
                <w:b/>
                <w:bCs/>
              </w:rPr>
            </w:pPr>
            <w:r w:rsidRPr="008B5C7B">
              <w:rPr>
                <w:b/>
                <w:bCs/>
              </w:rPr>
              <w:t>HSAG Required Evidence:</w:t>
            </w:r>
          </w:p>
          <w:p w14:paraId="567744CE" w14:textId="77777777" w:rsidR="00F827E9" w:rsidRPr="008B5C7B" w:rsidRDefault="00F827E9" w:rsidP="00F827E9">
            <w:pPr>
              <w:pStyle w:val="HSAGTableText"/>
              <w:numPr>
                <w:ilvl w:val="0"/>
                <w:numId w:val="43"/>
              </w:numPr>
              <w:spacing w:before="0" w:after="0"/>
              <w:contextualSpacing/>
            </w:pPr>
            <w:r w:rsidRPr="008B5C7B">
              <w:t>Policies and procedures  </w:t>
            </w:r>
          </w:p>
          <w:p w14:paraId="38977C7C" w14:textId="77777777" w:rsidR="00F827E9" w:rsidRPr="008B5C7B" w:rsidRDefault="00F827E9" w:rsidP="00F827E9">
            <w:pPr>
              <w:pStyle w:val="HSAGTableText"/>
              <w:numPr>
                <w:ilvl w:val="0"/>
                <w:numId w:val="43"/>
              </w:numPr>
              <w:spacing w:before="0" w:after="0"/>
              <w:contextualSpacing/>
            </w:pPr>
            <w:r w:rsidRPr="008B5C7B">
              <w:t>UM program description</w:t>
            </w:r>
          </w:p>
          <w:p w14:paraId="268F7F3C" w14:textId="77777777" w:rsidR="00F827E9" w:rsidRPr="008B5C7B" w:rsidRDefault="00F827E9" w:rsidP="00F827E9">
            <w:pPr>
              <w:numPr>
                <w:ilvl w:val="0"/>
                <w:numId w:val="43"/>
              </w:numPr>
              <w:spacing w:before="0" w:after="0"/>
              <w:contextualSpacing/>
              <w:textAlignment w:val="baseline"/>
              <w:rPr>
                <w:rFonts w:eastAsia="Times New Roman" w:cs="Times New Roman"/>
                <w:color w:val="000000"/>
                <w:sz w:val="22"/>
              </w:rPr>
            </w:pPr>
            <w:r w:rsidRPr="008B5C7B">
              <w:rPr>
                <w:rFonts w:eastAsia="Times New Roman" w:cs="Times New Roman"/>
                <w:color w:val="000000"/>
                <w:sz w:val="22"/>
              </w:rPr>
              <w:t>ABD notice template for untimely determination</w:t>
            </w:r>
          </w:p>
          <w:p w14:paraId="6A10E0A2" w14:textId="77777777" w:rsidR="00F827E9" w:rsidRPr="008B5C7B" w:rsidRDefault="00F827E9" w:rsidP="00F827E9">
            <w:pPr>
              <w:numPr>
                <w:ilvl w:val="0"/>
                <w:numId w:val="43"/>
              </w:numPr>
              <w:spacing w:before="0" w:after="0"/>
              <w:contextualSpacing/>
              <w:textAlignment w:val="baseline"/>
              <w:rPr>
                <w:rFonts w:eastAsia="Times New Roman" w:cs="Times New Roman"/>
                <w:color w:val="000000"/>
                <w:sz w:val="22"/>
              </w:rPr>
            </w:pPr>
            <w:r w:rsidRPr="008B5C7B">
              <w:rPr>
                <w:rFonts w:eastAsia="Times New Roman" w:cs="Times New Roman"/>
                <w:color w:val="000000"/>
                <w:sz w:val="22"/>
              </w:rPr>
              <w:t xml:space="preserve">Service authorization log(s) within the </w:t>
            </w:r>
            <w:proofErr w:type="gramStart"/>
            <w:r w:rsidRPr="008B5C7B">
              <w:rPr>
                <w:rFonts w:eastAsia="Times New Roman" w:cs="Times New Roman"/>
                <w:color w:val="000000"/>
                <w:sz w:val="22"/>
              </w:rPr>
              <w:t>time period</w:t>
            </w:r>
            <w:proofErr w:type="gramEnd"/>
            <w:r w:rsidRPr="008B5C7B">
              <w:rPr>
                <w:rFonts w:eastAsia="Times New Roman" w:cs="Times New Roman"/>
                <w:color w:val="000000"/>
                <w:sz w:val="22"/>
              </w:rPr>
              <w:t xml:space="preserve"> under review</w:t>
            </w:r>
          </w:p>
          <w:p w14:paraId="349ADA84" w14:textId="77777777" w:rsidR="00F827E9" w:rsidRDefault="00F827E9" w:rsidP="00F827E9">
            <w:pPr>
              <w:numPr>
                <w:ilvl w:val="0"/>
                <w:numId w:val="43"/>
              </w:numPr>
              <w:spacing w:before="0" w:after="0"/>
              <w:contextualSpacing/>
              <w:textAlignment w:val="baseline"/>
              <w:rPr>
                <w:rFonts w:eastAsia="Times New Roman" w:cs="Times New Roman"/>
                <w:color w:val="000000"/>
                <w:sz w:val="22"/>
              </w:rPr>
            </w:pPr>
            <w:r w:rsidRPr="008B5C7B">
              <w:rPr>
                <w:rFonts w:eastAsia="Times New Roman" w:cs="Times New Roman"/>
                <w:color w:val="000000"/>
                <w:sz w:val="22"/>
              </w:rPr>
              <w:t>Tracking and reporting mechanism(s) </w:t>
            </w:r>
          </w:p>
          <w:p w14:paraId="19BFBF3F" w14:textId="1B876783" w:rsidR="00F827E9" w:rsidRPr="00753AE4" w:rsidRDefault="00F827E9" w:rsidP="00F827E9">
            <w:pPr>
              <w:numPr>
                <w:ilvl w:val="0"/>
                <w:numId w:val="43"/>
              </w:numPr>
              <w:spacing w:before="0" w:after="0"/>
              <w:contextualSpacing/>
              <w:textAlignment w:val="baseline"/>
              <w:rPr>
                <w:rFonts w:eastAsia="Times New Roman" w:cs="Times New Roman"/>
                <w:color w:val="000000"/>
                <w:sz w:val="22"/>
              </w:rPr>
            </w:pPr>
            <w:r w:rsidRPr="00753AE4">
              <w:rPr>
                <w:rFonts w:eastAsia="Times New Roman"/>
                <w:color w:val="000000"/>
              </w:rPr>
              <w:t>HSAG will also use the results of the service authorization denial file review </w:t>
            </w:r>
          </w:p>
        </w:tc>
        <w:tc>
          <w:tcPr>
            <w:tcW w:w="1428" w:type="dxa"/>
            <w:vMerge w:val="restart"/>
            <w:shd w:val="clear" w:color="auto" w:fill="FFFFFF" w:themeFill="background1"/>
          </w:tcPr>
          <w:p w14:paraId="6C39C26C" w14:textId="77777777" w:rsidR="00F827E9" w:rsidRPr="008B5C7B" w:rsidRDefault="00000000" w:rsidP="00F827E9">
            <w:pPr>
              <w:spacing w:before="60" w:after="0"/>
              <w:contextualSpacing/>
              <w:rPr>
                <w:sz w:val="22"/>
              </w:rPr>
            </w:pPr>
            <w:sdt>
              <w:sdtPr>
                <w:rPr>
                  <w:sz w:val="22"/>
                </w:rPr>
                <w:id w:val="1908332064"/>
                <w14:checkbox>
                  <w14:checked w14:val="0"/>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Met</w:t>
            </w:r>
          </w:p>
          <w:p w14:paraId="7EE495BA" w14:textId="77777777" w:rsidR="00F827E9" w:rsidRPr="008B5C7B" w:rsidRDefault="00000000" w:rsidP="00F827E9">
            <w:pPr>
              <w:spacing w:before="60" w:after="0"/>
              <w:contextualSpacing/>
              <w:rPr>
                <w:sz w:val="22"/>
              </w:rPr>
            </w:pPr>
            <w:sdt>
              <w:sdtPr>
                <w:rPr>
                  <w:sz w:val="22"/>
                </w:rPr>
                <w:id w:val="-523935913"/>
                <w14:checkbox>
                  <w14:checked w14:val="1"/>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Not Met</w:t>
            </w:r>
          </w:p>
          <w:p w14:paraId="22510160" w14:textId="77777777" w:rsidR="00F827E9" w:rsidRPr="008B5C7B" w:rsidRDefault="00000000" w:rsidP="00F827E9">
            <w:pPr>
              <w:spacing w:before="60" w:after="0"/>
              <w:contextualSpacing/>
              <w:rPr>
                <w:sz w:val="22"/>
              </w:rPr>
            </w:pPr>
            <w:sdt>
              <w:sdtPr>
                <w:rPr>
                  <w:sz w:val="22"/>
                </w:rPr>
                <w:id w:val="-714736478"/>
                <w14:checkbox>
                  <w14:checked w14:val="0"/>
                  <w14:checkedState w14:val="2612" w14:font="MS Gothic"/>
                  <w14:uncheckedState w14:val="2610" w14:font="MS Gothic"/>
                </w14:checkbox>
              </w:sdtPr>
              <w:sdtContent>
                <w:r w:rsidR="00F827E9" w:rsidRPr="008B5C7B">
                  <w:rPr>
                    <w:rFonts w:ascii="MS Gothic" w:eastAsia="MS Gothic" w:hAnsi="MS Gothic"/>
                    <w:sz w:val="22"/>
                  </w:rPr>
                  <w:t>☐</w:t>
                </w:r>
              </w:sdtContent>
            </w:sdt>
            <w:r w:rsidR="00F827E9" w:rsidRPr="008B5C7B">
              <w:rPr>
                <w:sz w:val="22"/>
              </w:rPr>
              <w:t xml:space="preserve"> NA</w:t>
            </w:r>
          </w:p>
          <w:p w14:paraId="6C189D64" w14:textId="77777777" w:rsidR="00F827E9" w:rsidRPr="00903F99" w:rsidRDefault="00F827E9" w:rsidP="00F827E9">
            <w:pPr>
              <w:spacing w:before="0" w:after="0"/>
              <w:contextualSpacing/>
              <w:rPr>
                <w:sz w:val="22"/>
              </w:rPr>
            </w:pPr>
          </w:p>
        </w:tc>
      </w:tr>
      <w:tr w:rsidR="00F827E9" w:rsidRPr="00903F99" w14:paraId="37206899" w14:textId="77777777" w:rsidTr="00753AE4">
        <w:trPr>
          <w:trHeight w:val="374"/>
          <w:jc w:val="center"/>
        </w:trPr>
        <w:tc>
          <w:tcPr>
            <w:tcW w:w="6470" w:type="dxa"/>
            <w:gridSpan w:val="2"/>
            <w:vMerge/>
          </w:tcPr>
          <w:p w14:paraId="454719C0" w14:textId="77777777" w:rsidR="00F827E9" w:rsidRPr="00903F99" w:rsidRDefault="00F827E9" w:rsidP="00F827E9">
            <w:pPr>
              <w:pStyle w:val="HSAGNumbers"/>
              <w:numPr>
                <w:ilvl w:val="0"/>
                <w:numId w:val="17"/>
              </w:numPr>
              <w:spacing w:before="0" w:after="0"/>
              <w:contextualSpacing/>
            </w:pPr>
          </w:p>
        </w:tc>
        <w:tc>
          <w:tcPr>
            <w:tcW w:w="6113" w:type="dxa"/>
            <w:gridSpan w:val="2"/>
            <w:shd w:val="clear" w:color="auto" w:fill="FFFFFF" w:themeFill="background1"/>
          </w:tcPr>
          <w:p w14:paraId="18AE7CA5" w14:textId="77777777" w:rsidR="00F827E9" w:rsidRPr="008B5C7B" w:rsidRDefault="00F827E9" w:rsidP="00F827E9">
            <w:pPr>
              <w:pStyle w:val="HSAGTableText"/>
              <w:contextualSpacing/>
              <w:rPr>
                <w:b/>
                <w:bCs/>
              </w:rPr>
            </w:pPr>
            <w:r w:rsidRPr="008B5C7B">
              <w:rPr>
                <w:b/>
                <w:bCs/>
              </w:rPr>
              <w:t>Evidence as Submitted by the PIHP:</w:t>
            </w:r>
          </w:p>
          <w:p w14:paraId="78F08554" w14:textId="77777777" w:rsidR="00F827E9" w:rsidRPr="008B5C7B" w:rsidRDefault="00F827E9" w:rsidP="00F827E9">
            <w:pPr>
              <w:pStyle w:val="HSAGTableText"/>
              <w:numPr>
                <w:ilvl w:val="0"/>
                <w:numId w:val="44"/>
              </w:numPr>
              <w:contextualSpacing/>
            </w:pPr>
            <w:r w:rsidRPr="008B5C7B">
              <w:t>SVI_E22_ABD</w:t>
            </w:r>
          </w:p>
          <w:p w14:paraId="3E37DAFB" w14:textId="77777777" w:rsidR="00F827E9" w:rsidRPr="008B5C7B" w:rsidRDefault="00F827E9" w:rsidP="00F827E9">
            <w:pPr>
              <w:pStyle w:val="HSAGTableText"/>
              <w:numPr>
                <w:ilvl w:val="0"/>
                <w:numId w:val="44"/>
              </w:numPr>
              <w:contextualSpacing/>
            </w:pPr>
            <w:r w:rsidRPr="008B5C7B">
              <w:t>SVI_E22_NMRE Tracking Evidence</w:t>
            </w:r>
          </w:p>
          <w:p w14:paraId="026DC5C1" w14:textId="77777777" w:rsidR="00F827E9" w:rsidRDefault="00F827E9" w:rsidP="00F827E9">
            <w:pPr>
              <w:pStyle w:val="HSAGTableText"/>
              <w:numPr>
                <w:ilvl w:val="0"/>
                <w:numId w:val="44"/>
              </w:numPr>
              <w:contextualSpacing/>
            </w:pPr>
            <w:r w:rsidRPr="008B5C7B">
              <w:t>SVI_E22_NMRE Service Auth Denials Tracking Mechanism</w:t>
            </w:r>
          </w:p>
          <w:p w14:paraId="53B3A407" w14:textId="2E049FA8" w:rsidR="00F827E9" w:rsidRPr="00903F99" w:rsidRDefault="00F827E9" w:rsidP="00F827E9">
            <w:pPr>
              <w:pStyle w:val="HSAGTableText"/>
              <w:numPr>
                <w:ilvl w:val="0"/>
                <w:numId w:val="44"/>
              </w:numPr>
              <w:contextualSpacing/>
            </w:pPr>
            <w:r w:rsidRPr="008B5C7B">
              <w:t>SVI_E22_NMRE Tracking Evidence_14 days</w:t>
            </w:r>
          </w:p>
        </w:tc>
        <w:tc>
          <w:tcPr>
            <w:tcW w:w="1428" w:type="dxa"/>
            <w:vMerge/>
            <w:shd w:val="clear" w:color="auto" w:fill="FFFFFF" w:themeFill="background1"/>
          </w:tcPr>
          <w:p w14:paraId="2DA8931C" w14:textId="77777777" w:rsidR="00F827E9" w:rsidRPr="00903F99" w:rsidRDefault="00F827E9" w:rsidP="00F827E9">
            <w:pPr>
              <w:spacing w:before="0" w:after="0"/>
              <w:contextualSpacing/>
              <w:rPr>
                <w:sz w:val="22"/>
              </w:rPr>
            </w:pPr>
          </w:p>
        </w:tc>
      </w:tr>
      <w:tr w:rsidR="00F827E9" w:rsidRPr="00903F99" w14:paraId="1139926E" w14:textId="77777777" w:rsidTr="00171D87">
        <w:trPr>
          <w:trHeight w:val="374"/>
          <w:jc w:val="center"/>
        </w:trPr>
        <w:tc>
          <w:tcPr>
            <w:tcW w:w="14011" w:type="dxa"/>
            <w:gridSpan w:val="5"/>
            <w:vAlign w:val="center"/>
          </w:tcPr>
          <w:p w14:paraId="71597DBC" w14:textId="148DA99E" w:rsidR="00F827E9" w:rsidRPr="00903F99" w:rsidRDefault="00F827E9" w:rsidP="00F827E9">
            <w:pPr>
              <w:pStyle w:val="HSAGTableText"/>
            </w:pPr>
            <w:r w:rsidRPr="008B5C7B">
              <w:rPr>
                <w:rStyle w:val="normaltextrun"/>
                <w:b/>
                <w:bCs/>
                <w:color w:val="000000"/>
                <w:shd w:val="clear" w:color="auto" w:fill="FFFFFF"/>
              </w:rPr>
              <w:t>PIHP Description of Process:</w:t>
            </w:r>
            <w:r w:rsidRPr="008B5C7B">
              <w:rPr>
                <w:rStyle w:val="normaltextrun"/>
                <w:color w:val="000000"/>
                <w:shd w:val="clear" w:color="auto" w:fill="FFFFFF"/>
              </w:rPr>
              <w:t xml:space="preserve"> Authorizations </w:t>
            </w:r>
            <w:r w:rsidRPr="00CC74C5">
              <w:t>without</w:t>
            </w:r>
            <w:r w:rsidRPr="008B5C7B">
              <w:rPr>
                <w:rStyle w:val="normaltextrun"/>
                <w:color w:val="000000"/>
                <w:shd w:val="clear" w:color="auto" w:fill="FFFFFF"/>
              </w:rPr>
              <w:t xml:space="preserve"> decision within 14days/72h are denied and ABD is issued immediately and mailed to the beneficiary. </w:t>
            </w:r>
            <w:r w:rsidRPr="008B5C7B">
              <w:rPr>
                <w:rStyle w:val="eop"/>
                <w:color w:val="000000"/>
                <w:shd w:val="clear" w:color="auto" w:fill="FFFFFF"/>
              </w:rPr>
              <w:t> </w:t>
            </w:r>
          </w:p>
        </w:tc>
      </w:tr>
      <w:tr w:rsidR="00F827E9" w:rsidRPr="0026679F" w14:paraId="40A93899" w14:textId="77777777" w:rsidTr="00171D87">
        <w:trPr>
          <w:trHeight w:val="374"/>
          <w:jc w:val="center"/>
        </w:trPr>
        <w:tc>
          <w:tcPr>
            <w:tcW w:w="14011" w:type="dxa"/>
            <w:gridSpan w:val="5"/>
            <w:tcBorders>
              <w:bottom w:val="single" w:sz="4" w:space="0" w:color="000000"/>
            </w:tcBorders>
            <w:vAlign w:val="center"/>
          </w:tcPr>
          <w:p w14:paraId="68B3469F" w14:textId="19B0CF65" w:rsidR="00F827E9" w:rsidRPr="0026679F" w:rsidRDefault="00F827E9" w:rsidP="00F827E9">
            <w:pPr>
              <w:pStyle w:val="HSAGTableText"/>
            </w:pPr>
            <w:r w:rsidRPr="008B5C7B">
              <w:rPr>
                <w:b/>
              </w:rPr>
              <w:t>HSAG Findings:</w:t>
            </w:r>
            <w:r w:rsidRPr="008B5C7B">
              <w:t xml:space="preserve"> The MDHHS denials reporting template included multiple cases in which the TATs were not met, confirming that the PIHP is not adequately implementing the requirements of this element. When a decision is not reached within the required time frames (i.e., 72 hours or 14</w:t>
            </w:r>
            <w:r>
              <w:t xml:space="preserve"> </w:t>
            </w:r>
            <w:r w:rsidRPr="008B5C7B">
              <w:t xml:space="preserve">calendar days [plus an additional 14 calendar days for extensions]), the PIHP is required to issue a denial notice on the date that the time frame expires. During the site review, the PIHP explained that this is something it has also noticed and is working to address. Additionally, the </w:t>
            </w:r>
            <w:r>
              <w:rPr>
                <w:i/>
                <w:iCs/>
              </w:rPr>
              <w:t>Beneficiary Grievance and Appeals</w:t>
            </w:r>
            <w:r w:rsidRPr="008B5C7B">
              <w:rPr>
                <w:i/>
                <w:iCs/>
              </w:rPr>
              <w:t xml:space="preserve"> Policy</w:t>
            </w:r>
            <w:r w:rsidRPr="008B5C7B">
              <w:t xml:space="preserve"> indicated that for “service authorization decisions not reached within the timeframes specified in part (3) of this section</w:t>
            </w:r>
            <w:r>
              <w:t xml:space="preserve"> (</w:t>
            </w:r>
            <w:r w:rsidRPr="008B5C7B">
              <w:t>which constitutes a denial and is thus an adverse benefit determination</w:t>
            </w:r>
            <w:r>
              <w:t>)</w:t>
            </w:r>
            <w:r w:rsidRPr="008B5C7B">
              <w:t>, on the date that the timeframes expire.” Part (3) of the policy refers to the 14-calendar-day time frame for standard authorization decisions; however, this provision applies to both standard and expedited service authorizations, including standard and expedited service authorizations with an extension applied.</w:t>
            </w:r>
          </w:p>
        </w:tc>
      </w:tr>
      <w:tr w:rsidR="00F827E9" w:rsidRPr="0026679F" w14:paraId="4253FE7A" w14:textId="77777777" w:rsidTr="00171D87">
        <w:trPr>
          <w:trHeight w:val="374"/>
          <w:jc w:val="center"/>
        </w:trPr>
        <w:tc>
          <w:tcPr>
            <w:tcW w:w="14011" w:type="dxa"/>
            <w:gridSpan w:val="5"/>
            <w:tcBorders>
              <w:top w:val="single" w:sz="4" w:space="0" w:color="000000"/>
              <w:bottom w:val="single" w:sz="4" w:space="0" w:color="auto"/>
            </w:tcBorders>
            <w:vAlign w:val="center"/>
          </w:tcPr>
          <w:p w14:paraId="36ED2292" w14:textId="2F1103A0" w:rsidR="00F827E9" w:rsidRPr="0026679F" w:rsidRDefault="00F827E9" w:rsidP="00F827E9">
            <w:pPr>
              <w:pStyle w:val="HSAGTableText"/>
              <w:rPr>
                <w:b/>
              </w:rPr>
            </w:pPr>
            <w:r w:rsidRPr="008B5C7B">
              <w:rPr>
                <w:b/>
              </w:rPr>
              <w:t xml:space="preserve">Required Actions: </w:t>
            </w:r>
            <w:r w:rsidRPr="008B5C7B">
              <w:t>For standard and expedited service authorization decisions not reached within the required time frames specified in 42 CFR §438.210(d) (which constitutes a denial and is thus an ABD), the PIHP must provide notice on the date that the time frames expire.</w:t>
            </w:r>
          </w:p>
        </w:tc>
      </w:tr>
      <w:tr w:rsidR="00F827E9" w:rsidRPr="00D16F05" w14:paraId="29E4613A"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auto"/>
              <w:bottom w:val="single" w:sz="4" w:space="0" w:color="000000" w:themeColor="text1"/>
            </w:tcBorders>
            <w:shd w:val="clear" w:color="auto" w:fill="F79548" w:themeFill="accent4"/>
          </w:tcPr>
          <w:p w14:paraId="2B565415" w14:textId="77777777" w:rsidR="00F827E9" w:rsidRPr="00D16F05" w:rsidRDefault="00F827E9" w:rsidP="00F827E9">
            <w:pPr>
              <w:pStyle w:val="HSAGTableText"/>
              <w:keepNext/>
              <w:contextualSpacing/>
              <w:rPr>
                <w:b/>
              </w:rPr>
            </w:pPr>
            <w:r>
              <w:rPr>
                <w:b/>
              </w:rPr>
              <w:lastRenderedPageBreak/>
              <w:t>PIHP Corrective Action Plan</w:t>
            </w:r>
          </w:p>
        </w:tc>
      </w:tr>
      <w:tr w:rsidR="00F827E9" w:rsidRPr="00984D92" w14:paraId="02245610"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3972BF5E" w14:textId="57E463A0" w:rsidR="00F827E9" w:rsidRPr="00984D92" w:rsidRDefault="00F827E9" w:rsidP="00F827E9">
            <w:pPr>
              <w:pStyle w:val="HSAGTableText"/>
              <w:contextualSpacing/>
              <w:rPr>
                <w:bCs/>
              </w:rPr>
            </w:pPr>
            <w:r>
              <w:rPr>
                <w:b/>
              </w:rPr>
              <w:t>Root Cause Analysis:</w:t>
            </w:r>
            <w:r w:rsidRPr="003F5489">
              <w:rPr>
                <w:bCs/>
              </w:rPr>
              <w:t xml:space="preserve"> </w:t>
            </w:r>
            <w:r w:rsidR="00BB160F">
              <w:rPr>
                <w:bCs/>
              </w:rPr>
              <w:t>Lack of education and knowledge</w:t>
            </w:r>
          </w:p>
        </w:tc>
      </w:tr>
      <w:tr w:rsidR="00F827E9" w:rsidRPr="00FC2C0F" w14:paraId="5AA87409"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47066048" w14:textId="5532F2FC" w:rsidR="00F827E9" w:rsidRPr="00FC2C0F" w:rsidRDefault="00F827E9" w:rsidP="00F827E9">
            <w:pPr>
              <w:pStyle w:val="HSAGTableText"/>
              <w:contextualSpacing/>
              <w:rPr>
                <w:bCs/>
              </w:rPr>
            </w:pPr>
            <w:r>
              <w:rPr>
                <w:b/>
              </w:rPr>
              <w:t>PIHP Remediation P</w:t>
            </w:r>
            <w:r w:rsidR="00BB160F">
              <w:rPr>
                <w:b/>
              </w:rPr>
              <w:t xml:space="preserve">lan: </w:t>
            </w:r>
            <w:r w:rsidR="0009202C">
              <w:rPr>
                <w:bCs/>
              </w:rPr>
              <w:t xml:space="preserve">The NMRE hosted a two-day ABD regional training </w:t>
            </w:r>
            <w:r w:rsidR="00284A0E">
              <w:rPr>
                <w:bCs/>
              </w:rPr>
              <w:t xml:space="preserve">attended by 100 </w:t>
            </w:r>
            <w:r w:rsidR="0009202C">
              <w:rPr>
                <w:bCs/>
              </w:rPr>
              <w:t>CMHSP staff in January 2025. Additionally, the NMRE will conduct quarterly audits, beginning for 1</w:t>
            </w:r>
            <w:r w:rsidR="0009202C" w:rsidRPr="00C8682B">
              <w:rPr>
                <w:bCs/>
                <w:vertAlign w:val="superscript"/>
              </w:rPr>
              <w:t>st</w:t>
            </w:r>
            <w:r w:rsidR="0009202C">
              <w:rPr>
                <w:bCs/>
              </w:rPr>
              <w:t xml:space="preserve"> quarter FY 2025 for ABD requirements and annual site monitoring will be conducted in FY 2025 to ensure that for standard and expedited service authorization decisions not reached within the required time frames specified in 42 CFR </w:t>
            </w:r>
            <w:r w:rsidR="0009202C" w:rsidRPr="008B5C7B">
              <w:t xml:space="preserve">§438.210(d) </w:t>
            </w:r>
            <w:r w:rsidR="0009202C">
              <w:t xml:space="preserve">that the PIHP must provide notice on the date that the time frames expire. </w:t>
            </w:r>
            <w:r w:rsidR="0009202C">
              <w:rPr>
                <w:bCs/>
              </w:rPr>
              <w:t>NMRE staff are participating in statewide ABD workgroup with PCE to remediate identified issues.</w:t>
            </w:r>
          </w:p>
        </w:tc>
      </w:tr>
      <w:tr w:rsidR="00F827E9" w:rsidRPr="00FC2C0F" w14:paraId="26B4D0AD"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000000" w:themeColor="text1"/>
            </w:tcBorders>
          </w:tcPr>
          <w:p w14:paraId="0B7871DD" w14:textId="775BE902" w:rsidR="00F827E9" w:rsidRPr="00FC2C0F" w:rsidRDefault="00F827E9" w:rsidP="00F827E9">
            <w:pPr>
              <w:pStyle w:val="HSAGTableText"/>
              <w:contextualSpacing/>
              <w:rPr>
                <w:bCs/>
              </w:rPr>
            </w:pPr>
            <w:r w:rsidRPr="00B30934">
              <w:rPr>
                <w:b/>
              </w:rPr>
              <w:t>Responsible Individual(s):</w:t>
            </w:r>
            <w:r>
              <w:rPr>
                <w:bCs/>
              </w:rPr>
              <w:t xml:space="preserve"> </w:t>
            </w:r>
            <w:r w:rsidR="00BB160F">
              <w:rPr>
                <w:bCs/>
              </w:rPr>
              <w:t>Brie Blaauw-Molaison, Compliance and Customer Services Officer/Regional SUD Recipient Rights Officer</w:t>
            </w:r>
          </w:p>
        </w:tc>
      </w:tr>
      <w:tr w:rsidR="00F827E9" w:rsidRPr="00FC2C0F" w14:paraId="4914A789" w14:textId="77777777" w:rsidTr="00171D87">
        <w:tblPrEx>
          <w:tblCellMar>
            <w:left w:w="108" w:type="dxa"/>
            <w:right w:w="108" w:type="dxa"/>
          </w:tblCellMar>
        </w:tblPrEx>
        <w:trPr>
          <w:gridBefore w:val="1"/>
          <w:wBefore w:w="7" w:type="dxa"/>
          <w:trHeight w:val="374"/>
          <w:jc w:val="center"/>
        </w:trPr>
        <w:tc>
          <w:tcPr>
            <w:tcW w:w="14004" w:type="dxa"/>
            <w:gridSpan w:val="4"/>
            <w:tcBorders>
              <w:top w:val="single" w:sz="4" w:space="0" w:color="000000"/>
              <w:bottom w:val="single" w:sz="4" w:space="0" w:color="auto"/>
            </w:tcBorders>
          </w:tcPr>
          <w:p w14:paraId="01B648D4" w14:textId="7F2FA01A" w:rsidR="00F827E9" w:rsidRPr="00FC2C0F" w:rsidRDefault="00F827E9" w:rsidP="00F827E9">
            <w:pPr>
              <w:pStyle w:val="HSAGTableText"/>
              <w:contextualSpacing/>
              <w:rPr>
                <w:bCs/>
              </w:rPr>
            </w:pPr>
            <w:r w:rsidRPr="00B30934">
              <w:rPr>
                <w:b/>
              </w:rPr>
              <w:t>Timeline:</w:t>
            </w:r>
            <w:r>
              <w:rPr>
                <w:bCs/>
              </w:rPr>
              <w:t xml:space="preserve"> FY 2025</w:t>
            </w:r>
          </w:p>
        </w:tc>
      </w:tr>
      <w:tr w:rsidR="00F827E9" w14:paraId="4905D11C" w14:textId="77777777" w:rsidTr="00753AE4">
        <w:tblPrEx>
          <w:tblCellMar>
            <w:left w:w="108" w:type="dxa"/>
            <w:right w:w="108" w:type="dxa"/>
          </w:tblCellMar>
        </w:tblPrEx>
        <w:trPr>
          <w:gridBefore w:val="1"/>
          <w:wBefore w:w="7" w:type="dxa"/>
          <w:trHeight w:val="374"/>
          <w:jc w:val="center"/>
        </w:trPr>
        <w:tc>
          <w:tcPr>
            <w:tcW w:w="10427" w:type="dxa"/>
            <w:gridSpan w:val="2"/>
            <w:tcBorders>
              <w:top w:val="single" w:sz="4" w:space="0" w:color="auto"/>
              <w:bottom w:val="single" w:sz="4" w:space="0" w:color="auto"/>
            </w:tcBorders>
            <w:shd w:val="clear" w:color="auto" w:fill="F2F2F2" w:themeFill="background1" w:themeFillShade="F2"/>
          </w:tcPr>
          <w:p w14:paraId="386C074B" w14:textId="77777777" w:rsidR="00F827E9" w:rsidRPr="00FC2C0F" w:rsidRDefault="00F827E9" w:rsidP="00F827E9">
            <w:pPr>
              <w:pStyle w:val="HSAGTableText"/>
              <w:contextualSpacing/>
              <w:rPr>
                <w:bCs/>
              </w:rPr>
            </w:pPr>
            <w:r>
              <w:rPr>
                <w:b/>
              </w:rPr>
              <w:t>MDHHS/HSAG Response:</w:t>
            </w:r>
            <w:r>
              <w:rPr>
                <w:bCs/>
              </w:rPr>
              <w:t xml:space="preserve"> </w:t>
            </w:r>
          </w:p>
        </w:tc>
        <w:tc>
          <w:tcPr>
            <w:tcW w:w="3577" w:type="dxa"/>
            <w:gridSpan w:val="2"/>
            <w:tcBorders>
              <w:top w:val="single" w:sz="4" w:space="0" w:color="auto"/>
              <w:bottom w:val="single" w:sz="4" w:space="0" w:color="auto"/>
            </w:tcBorders>
            <w:shd w:val="clear" w:color="auto" w:fill="F2F2F2" w:themeFill="background1" w:themeFillShade="F2"/>
          </w:tcPr>
          <w:p w14:paraId="23608E88" w14:textId="77777777" w:rsidR="00F827E9" w:rsidRPr="00C123EE" w:rsidRDefault="00000000" w:rsidP="00F827E9">
            <w:pPr>
              <w:pStyle w:val="HSAGTableText"/>
              <w:contextualSpacing/>
              <w:rPr>
                <w:bCs/>
              </w:rPr>
            </w:pPr>
            <w:sdt>
              <w:sdtPr>
                <w:rPr>
                  <w:bCs/>
                </w:rPr>
                <w:id w:val="656428003"/>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w:t>
            </w:r>
          </w:p>
          <w:p w14:paraId="4A48B96B" w14:textId="77777777" w:rsidR="00F827E9" w:rsidRPr="00C123EE" w:rsidRDefault="00000000" w:rsidP="00F827E9">
            <w:pPr>
              <w:pStyle w:val="HSAGTableText"/>
              <w:contextualSpacing/>
              <w:rPr>
                <w:bCs/>
              </w:rPr>
            </w:pPr>
            <w:sdt>
              <w:sdtPr>
                <w:rPr>
                  <w:bCs/>
                </w:rPr>
                <w:id w:val="-1851484069"/>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Accepted </w:t>
            </w:r>
            <w:r w:rsidR="00F827E9">
              <w:rPr>
                <w:bCs/>
              </w:rPr>
              <w:t>W</w:t>
            </w:r>
            <w:r w:rsidR="00F827E9" w:rsidRPr="00C123EE">
              <w:rPr>
                <w:bCs/>
              </w:rPr>
              <w:t>ith Recommendations</w:t>
            </w:r>
          </w:p>
          <w:p w14:paraId="62FE18AF" w14:textId="77777777" w:rsidR="00F827E9" w:rsidRDefault="00000000" w:rsidP="00F827E9">
            <w:pPr>
              <w:pStyle w:val="HSAGTableText"/>
              <w:contextualSpacing/>
              <w:rPr>
                <w:b/>
              </w:rPr>
            </w:pPr>
            <w:sdt>
              <w:sdtPr>
                <w:rPr>
                  <w:bCs/>
                </w:rPr>
                <w:id w:val="707151983"/>
                <w14:checkbox>
                  <w14:checked w14:val="0"/>
                  <w14:checkedState w14:val="2612" w14:font="MS Gothic"/>
                  <w14:uncheckedState w14:val="2610" w14:font="MS Gothic"/>
                </w14:checkbox>
              </w:sdtPr>
              <w:sdtContent>
                <w:r w:rsidR="00F827E9" w:rsidRPr="00C123EE">
                  <w:rPr>
                    <w:rFonts w:ascii="MS Gothic" w:eastAsia="MS Gothic" w:hAnsi="MS Gothic" w:hint="eastAsia"/>
                    <w:bCs/>
                  </w:rPr>
                  <w:t>☐</w:t>
                </w:r>
              </w:sdtContent>
            </w:sdt>
            <w:r w:rsidR="00F827E9" w:rsidRPr="00C123EE">
              <w:rPr>
                <w:bCs/>
              </w:rPr>
              <w:t xml:space="preserve"> Not Accepted</w:t>
            </w:r>
          </w:p>
        </w:tc>
      </w:tr>
    </w:tbl>
    <w:p w14:paraId="090915BD" w14:textId="77777777" w:rsidR="00AD1772" w:rsidRPr="00E91392" w:rsidRDefault="00AD1772" w:rsidP="00E91392"/>
    <w:sectPr w:rsidR="00AD1772" w:rsidRPr="00E91392" w:rsidSect="00C20826">
      <w:headerReference w:type="default" r:id="rId14"/>
      <w:footerReference w:type="default" r:id="rId15"/>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5A80" w14:textId="77777777" w:rsidR="00814CB7" w:rsidRDefault="00814CB7" w:rsidP="00383899">
      <w:pPr>
        <w:spacing w:after="0"/>
      </w:pPr>
      <w:r>
        <w:separator/>
      </w:r>
    </w:p>
  </w:endnote>
  <w:endnote w:type="continuationSeparator" w:id="0">
    <w:p w14:paraId="16D81E89" w14:textId="77777777" w:rsidR="00814CB7" w:rsidRDefault="00814CB7"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CB7D" w14:textId="2F083E69" w:rsidR="003B25FA" w:rsidRPr="00DB3F32" w:rsidRDefault="003B25FA" w:rsidP="00DB3F32">
    <w:pPr>
      <w:pStyle w:val="Footer"/>
    </w:pPr>
    <w:r>
      <w:rPr>
        <w:b/>
      </w:rPr>
      <w:fldChar w:fldCharType="begin"/>
    </w:r>
    <w:r>
      <w:rPr>
        <w:b/>
      </w:rPr>
      <w:instrText xml:space="preserve"> DOCPROPERTY  DCfR  \* MERGEFORMAT </w:instrText>
    </w:r>
    <w:r>
      <w:rPr>
        <w:b/>
      </w:rPr>
      <w:fldChar w:fldCharType="separate"/>
    </w:r>
    <w:r w:rsidR="00E91392">
      <w:rPr>
        <w:b/>
      </w:rPr>
      <w:t xml:space="preserve"> </w:t>
    </w:r>
    <w:r>
      <w:rPr>
        <w:b/>
      </w:rPr>
      <w:fldChar w:fldCharType="end"/>
    </w:r>
    <w:r w:rsidRPr="00DB3F32">
      <w:br/>
    </w:r>
    <w:r w:rsidRPr="00AE4509">
      <w:rPr>
        <w:b/>
      </w:rPr>
      <w:fldChar w:fldCharType="begin"/>
    </w:r>
    <w:r w:rsidRPr="00AE4509">
      <w:rPr>
        <w:b/>
      </w:rPr>
      <w:instrText xml:space="preserve"> DOCPROPERTY  Comments  \* MERGEFORMAT </w:instrText>
    </w:r>
    <w:r w:rsidRPr="00AE4509">
      <w:rPr>
        <w:b/>
      </w:rPr>
      <w:fldChar w:fldCharType="separate"/>
    </w:r>
    <w:r w:rsidR="00E91392">
      <w:rPr>
        <w:b/>
      </w:rPr>
      <w:t>Region 2</w:t>
    </w:r>
    <w:r w:rsidRPr="00AE4509">
      <w:rPr>
        <w:b/>
      </w:rPr>
      <w:fldChar w:fldCharType="end"/>
    </w:r>
    <w:r>
      <w:rPr>
        <w:b/>
      </w:rPr>
      <w:t xml:space="preserve"> </w:t>
    </w:r>
    <w:fldSimple w:instr=" DOCPROPERTY  Title  \* MERGEFORMAT ">
      <w:r w:rsidR="00E91392">
        <w:t>SFY 2024 Compliance Review Corrective Action Plan</w:t>
      </w:r>
    </w:fldSimple>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sidR="00FA0892">
      <w:rPr>
        <w:b/>
        <w:noProof/>
        <w:sz w:val="16"/>
        <w:szCs w:val="16"/>
      </w:rPr>
      <w:t>4</w:t>
    </w:r>
    <w:r w:rsidRPr="00D05CD1">
      <w:rPr>
        <w:b/>
        <w:sz w:val="16"/>
        <w:szCs w:val="16"/>
      </w:rPr>
      <w:fldChar w:fldCharType="end"/>
    </w:r>
    <w:r w:rsidRPr="00DB3F32">
      <w:br/>
      <w:t xml:space="preserve">State of </w:t>
    </w:r>
    <w:fldSimple w:instr=" DOCPROPERTY  Company  \* MERGEFORMAT ">
      <w:r w:rsidR="00E91392">
        <w:t>Michigan</w:t>
      </w:r>
    </w:fldSimple>
    <w:r w:rsidRPr="00DB3F32">
      <w:tab/>
    </w:r>
    <w:r w:rsidRPr="00DB3F32">
      <w:tab/>
    </w:r>
    <w:fldSimple w:instr=" DOCPROPERTY  Category  \* MERGEFORMAT ">
      <w:r w:rsidR="00E91392">
        <w:t>R2-NMRE_MI2024_PIHP_CR_CAP_F1_1224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F27" w14:textId="77777777" w:rsidR="00814CB7" w:rsidRDefault="00814CB7" w:rsidP="00383899">
      <w:pPr>
        <w:spacing w:after="0"/>
      </w:pPr>
      <w:r>
        <w:separator/>
      </w:r>
    </w:p>
  </w:footnote>
  <w:footnote w:type="continuationSeparator" w:id="0">
    <w:p w14:paraId="201A55DE" w14:textId="77777777" w:rsidR="00814CB7" w:rsidRDefault="00814CB7"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29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30"/>
      <w:gridCol w:w="9000"/>
      <w:gridCol w:w="1530"/>
    </w:tblGrid>
    <w:tr w:rsidR="003B25FA" w14:paraId="049CD4F4" w14:textId="77777777" w:rsidTr="00785400">
      <w:trPr>
        <w:trHeight w:val="900"/>
        <w:jc w:val="center"/>
      </w:trPr>
      <w:tc>
        <w:tcPr>
          <w:tcW w:w="2430" w:type="dxa"/>
        </w:tcPr>
        <w:p w14:paraId="2000A17A" w14:textId="77777777" w:rsidR="003B25FA" w:rsidRDefault="003B25FA" w:rsidP="00D3552B">
          <w:pPr>
            <w:pStyle w:val="Heading3"/>
            <w:spacing w:before="0"/>
          </w:pPr>
          <w:r>
            <w:rPr>
              <w:noProof/>
            </w:rPr>
            <w:drawing>
              <wp:anchor distT="0" distB="0" distL="114300" distR="114300" simplePos="0" relativeHeight="251660288" behindDoc="0" locked="0" layoutInCell="1" allowOverlap="1" wp14:anchorId="07A1FB61" wp14:editId="6C355B14">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9000" w:type="dxa"/>
        </w:tcPr>
        <w:p w14:paraId="3DA60785" w14:textId="19A131C4" w:rsidR="003B25FA" w:rsidRDefault="00DA3695" w:rsidP="00DA3695">
          <w:pPr>
            <w:pStyle w:val="ToolHeader"/>
          </w:pPr>
          <w:r>
            <w:t>SFY 202</w:t>
          </w:r>
          <w:r w:rsidR="00422A6C">
            <w:t>4</w:t>
          </w:r>
          <w:r>
            <w:t xml:space="preserve"> </w:t>
          </w:r>
          <w:r w:rsidR="00D3552B">
            <w:t>Compliance Review</w:t>
          </w:r>
          <w:r>
            <w:t xml:space="preserve"> Corrective Action Plan</w:t>
          </w:r>
          <w:r>
            <w:br/>
            <w:t xml:space="preserve">for </w:t>
          </w:r>
          <w:fldSimple w:instr=" DOCPROPERTY  Comments  \* MERGEFORMAT ">
            <w:r w:rsidR="00E91392">
              <w:t>Region 2</w:t>
            </w:r>
          </w:fldSimple>
          <w:r w:rsidR="00F94C39">
            <w:t>—</w:t>
          </w:r>
          <w:fldSimple w:instr=" DOCPROPERTY  Keywords  \* MERGEFORMAT ">
            <w:r w:rsidR="00E91392">
              <w:t>Northern Michigan Regional Entity</w:t>
            </w:r>
          </w:fldSimple>
        </w:p>
      </w:tc>
      <w:tc>
        <w:tcPr>
          <w:tcW w:w="1530" w:type="dxa"/>
        </w:tcPr>
        <w:p w14:paraId="257B41ED" w14:textId="77777777" w:rsidR="003B25FA" w:rsidRDefault="003B25FA" w:rsidP="002077EB">
          <w:pPr>
            <w:pStyle w:val="Header"/>
            <w:jc w:val="center"/>
          </w:pPr>
        </w:p>
      </w:tc>
    </w:tr>
  </w:tbl>
  <w:p w14:paraId="0FA23C6E" w14:textId="77777777" w:rsidR="003B25FA" w:rsidRPr="007016AB" w:rsidRDefault="003B25FA"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55F3F9DD" wp14:editId="0BC566D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EF"/>
    <w:multiLevelType w:val="hybridMultilevel"/>
    <w:tmpl w:val="DBC0F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03272A3B"/>
    <w:multiLevelType w:val="hybridMultilevel"/>
    <w:tmpl w:val="B81C7D36"/>
    <w:lvl w:ilvl="0" w:tplc="FFFFFFFF">
      <w:start w:val="1"/>
      <w:numFmt w:val="bullet"/>
      <w:pStyle w:val="TableBullet1-L-TNR11"/>
      <w:lvlText w:val=""/>
      <w:lvlJc w:val="left"/>
      <w:pPr>
        <w:tabs>
          <w:tab w:val="num" w:pos="360"/>
        </w:tabs>
        <w:ind w:left="144" w:hanging="144"/>
      </w:pPr>
      <w:rPr>
        <w:rFonts w:ascii="Wingdings" w:hAnsi="Wingdings" w:hint="default"/>
        <w:color w:val="003366"/>
        <w:position w:val="4"/>
        <w:sz w:val="12"/>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61EF4"/>
    <w:multiLevelType w:val="hybridMultilevel"/>
    <w:tmpl w:val="76424B02"/>
    <w:lvl w:ilvl="0" w:tplc="04090001">
      <w:start w:val="1"/>
      <w:numFmt w:val="bullet"/>
      <w:lvlText w:val=""/>
      <w:lvlJc w:val="left"/>
      <w:pPr>
        <w:ind w:left="360" w:hanging="360"/>
      </w:pPr>
      <w:rPr>
        <w:rFonts w:ascii="Symbol" w:hAnsi="Symbol" w:hint="default"/>
      </w:rPr>
    </w:lvl>
    <w:lvl w:ilvl="1" w:tplc="00922B2C">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FF05E7"/>
    <w:multiLevelType w:val="hybridMultilevel"/>
    <w:tmpl w:val="62861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1751AD"/>
    <w:multiLevelType w:val="hybridMultilevel"/>
    <w:tmpl w:val="3B3E3CD4"/>
    <w:lvl w:ilvl="0" w:tplc="593E0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8" w15:restartNumberingAfterBreak="0">
    <w:nsid w:val="0BA915FA"/>
    <w:multiLevelType w:val="hybridMultilevel"/>
    <w:tmpl w:val="7EC85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607454"/>
    <w:multiLevelType w:val="hybridMultilevel"/>
    <w:tmpl w:val="C5DAE93E"/>
    <w:lvl w:ilvl="0" w:tplc="AE928A60">
      <w:start w:val="1"/>
      <w:numFmt w:val="decimal"/>
      <w:pStyle w:val="TableNumber1"/>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6D315E"/>
    <w:multiLevelType w:val="hybridMultilevel"/>
    <w:tmpl w:val="248C8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46A63"/>
    <w:multiLevelType w:val="hybridMultilevel"/>
    <w:tmpl w:val="40A2F438"/>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410E8"/>
    <w:multiLevelType w:val="multilevel"/>
    <w:tmpl w:val="B3A41660"/>
    <w:lvl w:ilvl="0">
      <w:start w:val="1"/>
      <w:numFmt w:val="decimal"/>
      <w:lvlText w:val="%1."/>
      <w:lvlJc w:val="left"/>
      <w:pPr>
        <w:ind w:left="1080" w:hanging="360"/>
      </w:pPr>
      <w:rPr>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65C7EFC"/>
    <w:multiLevelType w:val="hybridMultilevel"/>
    <w:tmpl w:val="AA3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567BB"/>
    <w:multiLevelType w:val="multilevel"/>
    <w:tmpl w:val="4B7AE0CC"/>
    <w:styleLink w:val="StyleNumbered1"/>
    <w:lvl w:ilvl="0">
      <w:start w:val="1"/>
      <w:numFmt w:val="decimal"/>
      <w:lvlText w:val="%1."/>
      <w:lvlJc w:val="left"/>
      <w:pPr>
        <w:tabs>
          <w:tab w:val="num" w:pos="360"/>
        </w:tabs>
        <w:ind w:left="0" w:firstLine="0"/>
      </w:pPr>
      <w:rPr>
        <w:rFonts w:ascii="Tempus Sans ITC" w:hAnsi="Tempus Sans ITC" w:hint="default"/>
        <w:b w:val="0"/>
        <w:i/>
        <w:vanish w:val="0"/>
        <w:color w:val="FFFFFF"/>
        <w:sz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vanish/>
        <w:color w:val="FF0000"/>
      </w:rPr>
    </w:lvl>
  </w:abstractNum>
  <w:abstractNum w:abstractNumId="15" w15:restartNumberingAfterBreak="0">
    <w:nsid w:val="1B9A0ABD"/>
    <w:multiLevelType w:val="hybridMultilevel"/>
    <w:tmpl w:val="5838B9D4"/>
    <w:lvl w:ilvl="0" w:tplc="151E8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D49F8"/>
    <w:multiLevelType w:val="hybridMultilevel"/>
    <w:tmpl w:val="3E8257A6"/>
    <w:lvl w:ilvl="0" w:tplc="E8268182">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8564C6"/>
    <w:multiLevelType w:val="hybridMultilevel"/>
    <w:tmpl w:val="C55C05EA"/>
    <w:lvl w:ilvl="0" w:tplc="593E0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372EE"/>
    <w:multiLevelType w:val="hybridMultilevel"/>
    <w:tmpl w:val="04F21086"/>
    <w:lvl w:ilvl="0" w:tplc="04090001">
      <w:start w:val="1"/>
      <w:numFmt w:val="bullet"/>
      <w:lvlText w:val=""/>
      <w:lvlJc w:val="left"/>
      <w:pPr>
        <w:ind w:left="360" w:hanging="360"/>
      </w:pPr>
      <w:rPr>
        <w:rFonts w:ascii="Symbol" w:hAnsi="Symbol" w:hint="default"/>
        <w:i w:val="0"/>
        <w:iCs/>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57870A6"/>
    <w:multiLevelType w:val="hybridMultilevel"/>
    <w:tmpl w:val="B8AE6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232302"/>
    <w:multiLevelType w:val="hybridMultilevel"/>
    <w:tmpl w:val="C150AE80"/>
    <w:lvl w:ilvl="0" w:tplc="05B2F3C2">
      <w:start w:val="1"/>
      <w:numFmt w:val="decimal"/>
      <w:lvlText w:val="%1."/>
      <w:lvlJc w:val="left"/>
      <w:pPr>
        <w:ind w:left="360" w:hanging="360"/>
      </w:pPr>
      <w:rPr>
        <w:rFonts w:hint="default"/>
        <w:i w:val="0"/>
        <w:iCs/>
        <w:sz w:val="22"/>
        <w:szCs w:val="20"/>
      </w:rPr>
    </w:lvl>
    <w:lvl w:ilvl="1" w:tplc="D6C4A8EA">
      <w:start w:val="1"/>
      <w:numFmt w:val="lowerLetter"/>
      <w:lvlText w:val="%2."/>
      <w:lvlJc w:val="left"/>
      <w:pPr>
        <w:ind w:left="1080" w:hanging="360"/>
      </w:pPr>
      <w:rPr>
        <w:i w:val="0"/>
        <w:iCs w:val="0"/>
        <w:sz w:val="22"/>
        <w:szCs w:val="22"/>
      </w:rPr>
    </w:lvl>
    <w:lvl w:ilvl="2" w:tplc="F88A8AFC">
      <w:start w:val="1"/>
      <w:numFmt w:val="lowerRoman"/>
      <w:lvlText w:val="%3."/>
      <w:lvlJc w:val="right"/>
      <w:pPr>
        <w:ind w:left="1800" w:hanging="180"/>
      </w:pPr>
      <w:rPr>
        <w:i/>
        <w:i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5739E5"/>
    <w:multiLevelType w:val="hybridMultilevel"/>
    <w:tmpl w:val="8356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DC33BB"/>
    <w:multiLevelType w:val="hybridMultilevel"/>
    <w:tmpl w:val="9B00E450"/>
    <w:lvl w:ilvl="0" w:tplc="04090001">
      <w:start w:val="1"/>
      <w:numFmt w:val="bullet"/>
      <w:lvlText w:val=""/>
      <w:lvlJc w:val="left"/>
      <w:pPr>
        <w:ind w:left="360" w:hanging="360"/>
      </w:pPr>
      <w:rPr>
        <w:rFonts w:ascii="Symbol" w:hAnsi="Symbol" w:hint="default"/>
        <w:i w:val="0"/>
        <w:iCs/>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0E230D"/>
    <w:multiLevelType w:val="hybridMultilevel"/>
    <w:tmpl w:val="00AC2360"/>
    <w:lvl w:ilvl="0" w:tplc="DCF6898A">
      <w:start w:val="1"/>
      <w:numFmt w:val="upperLetter"/>
      <w:pStyle w:val="HSAGAlphaBullet2"/>
      <w:lvlText w:val="%1."/>
      <w:lvlJc w:val="left"/>
      <w:pPr>
        <w:ind w:left="720" w:hanging="360"/>
      </w:pPr>
      <w:rPr>
        <w:rFonts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435C8"/>
    <w:multiLevelType w:val="hybridMultilevel"/>
    <w:tmpl w:val="B032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DB7BC9"/>
    <w:multiLevelType w:val="hybridMultilevel"/>
    <w:tmpl w:val="B54A57FE"/>
    <w:lvl w:ilvl="0" w:tplc="FD566C38">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916CF"/>
    <w:multiLevelType w:val="hybridMultilevel"/>
    <w:tmpl w:val="8640B7BA"/>
    <w:lvl w:ilvl="0" w:tplc="EBC0C7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908A1"/>
    <w:multiLevelType w:val="hybridMultilevel"/>
    <w:tmpl w:val="4670C1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830889"/>
    <w:multiLevelType w:val="hybridMultilevel"/>
    <w:tmpl w:val="24B23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B2938"/>
    <w:multiLevelType w:val="hybridMultilevel"/>
    <w:tmpl w:val="06040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14273B"/>
    <w:multiLevelType w:val="hybridMultilevel"/>
    <w:tmpl w:val="CEBC8828"/>
    <w:lvl w:ilvl="0" w:tplc="D814045C">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8C06F9"/>
    <w:multiLevelType w:val="hybridMultilevel"/>
    <w:tmpl w:val="A08CA60A"/>
    <w:lvl w:ilvl="0" w:tplc="561E4CCC">
      <w:start w:val="1"/>
      <w:numFmt w:val="bullet"/>
      <w:pStyle w:val="HSAGTableBullet1"/>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5"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112C6"/>
    <w:multiLevelType w:val="hybridMultilevel"/>
    <w:tmpl w:val="FF3A0ACE"/>
    <w:lvl w:ilvl="0" w:tplc="8A6CD228">
      <w:start w:val="1"/>
      <w:numFmt w:val="decimal"/>
      <w:pStyle w:val="TableNumber1-L-TNR1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F77507"/>
    <w:multiLevelType w:val="hybridMultilevel"/>
    <w:tmpl w:val="1E9A700C"/>
    <w:lvl w:ilvl="0" w:tplc="04090001">
      <w:start w:val="1"/>
      <w:numFmt w:val="bullet"/>
      <w:lvlText w:val=""/>
      <w:lvlJc w:val="left"/>
      <w:pPr>
        <w:ind w:left="360" w:hanging="360"/>
      </w:pPr>
      <w:rPr>
        <w:rFonts w:ascii="Symbol" w:hAnsi="Symbol" w:hint="default"/>
        <w:i w:val="0"/>
        <w:iCs/>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1FF0401"/>
    <w:multiLevelType w:val="hybridMultilevel"/>
    <w:tmpl w:val="30827956"/>
    <w:lvl w:ilvl="0" w:tplc="04090001">
      <w:start w:val="1"/>
      <w:numFmt w:val="bullet"/>
      <w:lvlText w:val=""/>
      <w:lvlJc w:val="left"/>
      <w:pPr>
        <w:ind w:left="360" w:hanging="360"/>
      </w:pPr>
      <w:rPr>
        <w:rFonts w:ascii="Symbol" w:hAnsi="Symbol" w:hint="default"/>
        <w:i w:val="0"/>
        <w:iCs/>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4CA3E14"/>
    <w:multiLevelType w:val="hybridMultilevel"/>
    <w:tmpl w:val="19B8F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5210E7"/>
    <w:multiLevelType w:val="hybridMultilevel"/>
    <w:tmpl w:val="43D8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914413"/>
    <w:multiLevelType w:val="hybridMultilevel"/>
    <w:tmpl w:val="C5922BF0"/>
    <w:lvl w:ilvl="0" w:tplc="B1E65358">
      <w:start w:val="2"/>
      <w:numFmt w:val="lowerLetter"/>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12CE5"/>
    <w:multiLevelType w:val="hybridMultilevel"/>
    <w:tmpl w:val="6ADAADB2"/>
    <w:lvl w:ilvl="0" w:tplc="D180D8A2">
      <w:start w:val="1"/>
      <w:numFmt w:val="bullet"/>
      <w:pStyle w:val="ListNoNumBullet-1"/>
      <w:lvlText w:val=""/>
      <w:lvlJc w:val="left"/>
      <w:pPr>
        <w:tabs>
          <w:tab w:val="num" w:pos="720"/>
        </w:tabs>
        <w:ind w:left="720" w:hanging="360"/>
      </w:pPr>
      <w:rPr>
        <w:rFonts w:ascii="Wingdings" w:hAnsi="Wingdings" w:hint="default"/>
        <w:color w:val="003366"/>
        <w:position w:val="4"/>
        <w:sz w:val="12"/>
        <w:szCs w:val="12"/>
        <w:vertAlign w:val="baseline"/>
      </w:rPr>
    </w:lvl>
    <w:lvl w:ilvl="1" w:tplc="7A766768">
      <w:start w:val="1"/>
      <w:numFmt w:val="bullet"/>
      <w:lvlText w:val=""/>
      <w:lvlJc w:val="left"/>
      <w:pPr>
        <w:tabs>
          <w:tab w:val="num" w:pos="1440"/>
        </w:tabs>
        <w:ind w:left="1440" w:hanging="360"/>
      </w:pPr>
      <w:rPr>
        <w:rFonts w:ascii="Symbol" w:hAnsi="Symbol" w:hint="default"/>
        <w:color w:val="auto"/>
        <w:position w:val="4"/>
        <w:sz w:val="12"/>
        <w:szCs w:val="12"/>
        <w:vertAlign w:val="baseline"/>
      </w:rPr>
    </w:lvl>
    <w:lvl w:ilvl="2" w:tplc="95F8D1F6" w:tentative="1">
      <w:start w:val="1"/>
      <w:numFmt w:val="bullet"/>
      <w:lvlText w:val=""/>
      <w:lvlJc w:val="left"/>
      <w:pPr>
        <w:tabs>
          <w:tab w:val="num" w:pos="2160"/>
        </w:tabs>
        <w:ind w:left="2160" w:hanging="360"/>
      </w:pPr>
      <w:rPr>
        <w:rFonts w:ascii="Wingdings" w:hAnsi="Wingdings" w:hint="default"/>
      </w:rPr>
    </w:lvl>
    <w:lvl w:ilvl="3" w:tplc="53789E34" w:tentative="1">
      <w:start w:val="1"/>
      <w:numFmt w:val="bullet"/>
      <w:lvlText w:val=""/>
      <w:lvlJc w:val="left"/>
      <w:pPr>
        <w:tabs>
          <w:tab w:val="num" w:pos="2880"/>
        </w:tabs>
        <w:ind w:left="2880" w:hanging="360"/>
      </w:pPr>
      <w:rPr>
        <w:rFonts w:ascii="Symbol" w:hAnsi="Symbol" w:hint="default"/>
      </w:rPr>
    </w:lvl>
    <w:lvl w:ilvl="4" w:tplc="C30A0862" w:tentative="1">
      <w:start w:val="1"/>
      <w:numFmt w:val="bullet"/>
      <w:lvlText w:val="o"/>
      <w:lvlJc w:val="left"/>
      <w:pPr>
        <w:tabs>
          <w:tab w:val="num" w:pos="3600"/>
        </w:tabs>
        <w:ind w:left="3600" w:hanging="360"/>
      </w:pPr>
      <w:rPr>
        <w:rFonts w:ascii="Courier New" w:hAnsi="Courier New" w:hint="default"/>
      </w:rPr>
    </w:lvl>
    <w:lvl w:ilvl="5" w:tplc="1CAE9C4E" w:tentative="1">
      <w:start w:val="1"/>
      <w:numFmt w:val="bullet"/>
      <w:lvlText w:val=""/>
      <w:lvlJc w:val="left"/>
      <w:pPr>
        <w:tabs>
          <w:tab w:val="num" w:pos="4320"/>
        </w:tabs>
        <w:ind w:left="4320" w:hanging="360"/>
      </w:pPr>
      <w:rPr>
        <w:rFonts w:ascii="Wingdings" w:hAnsi="Wingdings" w:hint="default"/>
      </w:rPr>
    </w:lvl>
    <w:lvl w:ilvl="6" w:tplc="F42AA970" w:tentative="1">
      <w:start w:val="1"/>
      <w:numFmt w:val="bullet"/>
      <w:lvlText w:val=""/>
      <w:lvlJc w:val="left"/>
      <w:pPr>
        <w:tabs>
          <w:tab w:val="num" w:pos="5040"/>
        </w:tabs>
        <w:ind w:left="5040" w:hanging="360"/>
      </w:pPr>
      <w:rPr>
        <w:rFonts w:ascii="Symbol" w:hAnsi="Symbol" w:hint="default"/>
      </w:rPr>
    </w:lvl>
    <w:lvl w:ilvl="7" w:tplc="DA0489DA" w:tentative="1">
      <w:start w:val="1"/>
      <w:numFmt w:val="bullet"/>
      <w:lvlText w:val="o"/>
      <w:lvlJc w:val="left"/>
      <w:pPr>
        <w:tabs>
          <w:tab w:val="num" w:pos="5760"/>
        </w:tabs>
        <w:ind w:left="5760" w:hanging="360"/>
      </w:pPr>
      <w:rPr>
        <w:rFonts w:ascii="Courier New" w:hAnsi="Courier New" w:hint="default"/>
      </w:rPr>
    </w:lvl>
    <w:lvl w:ilvl="8" w:tplc="F794A0F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047A0"/>
    <w:multiLevelType w:val="hybridMultilevel"/>
    <w:tmpl w:val="4CD03472"/>
    <w:lvl w:ilvl="0" w:tplc="04090001">
      <w:start w:val="1"/>
      <w:numFmt w:val="bullet"/>
      <w:lvlText w:val=""/>
      <w:lvlJc w:val="left"/>
      <w:pPr>
        <w:ind w:left="360" w:hanging="360"/>
      </w:pPr>
      <w:rPr>
        <w:rFonts w:ascii="Symbol" w:hAnsi="Symbol" w:hint="default"/>
        <w:i w:val="0"/>
        <w:iCs/>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476838">
    <w:abstractNumId w:val="25"/>
  </w:num>
  <w:num w:numId="2" w16cid:durableId="883444791">
    <w:abstractNumId w:val="33"/>
  </w:num>
  <w:num w:numId="3" w16cid:durableId="620770893">
    <w:abstractNumId w:val="11"/>
  </w:num>
  <w:num w:numId="4" w16cid:durableId="75791720">
    <w:abstractNumId w:val="1"/>
  </w:num>
  <w:num w:numId="5" w16cid:durableId="2031027363">
    <w:abstractNumId w:val="35"/>
  </w:num>
  <w:num w:numId="6" w16cid:durableId="966398883">
    <w:abstractNumId w:val="34"/>
  </w:num>
  <w:num w:numId="7" w16cid:durableId="1644575171">
    <w:abstractNumId w:val="30"/>
  </w:num>
  <w:num w:numId="8" w16cid:durableId="58990871">
    <w:abstractNumId w:val="9"/>
  </w:num>
  <w:num w:numId="9" w16cid:durableId="966810979">
    <w:abstractNumId w:val="28"/>
  </w:num>
  <w:num w:numId="10" w16cid:durableId="124734797">
    <w:abstractNumId w:val="7"/>
  </w:num>
  <w:num w:numId="11" w16cid:durableId="1365519402">
    <w:abstractNumId w:val="6"/>
  </w:num>
  <w:num w:numId="12" w16cid:durableId="696348426">
    <w:abstractNumId w:val="23"/>
  </w:num>
  <w:num w:numId="13" w16cid:durableId="1761367631">
    <w:abstractNumId w:val="42"/>
  </w:num>
  <w:num w:numId="14" w16cid:durableId="560018947">
    <w:abstractNumId w:val="32"/>
  </w:num>
  <w:num w:numId="15" w16cid:durableId="1213421667">
    <w:abstractNumId w:val="2"/>
  </w:num>
  <w:num w:numId="16" w16cid:durableId="167326634">
    <w:abstractNumId w:val="20"/>
  </w:num>
  <w:num w:numId="17" w16cid:durableId="1155488065">
    <w:abstractNumId w:val="41"/>
  </w:num>
  <w:num w:numId="18" w16cid:durableId="476842958">
    <w:abstractNumId w:val="36"/>
  </w:num>
  <w:num w:numId="19" w16cid:durableId="7945783">
    <w:abstractNumId w:val="14"/>
  </w:num>
  <w:num w:numId="20" w16cid:durableId="1634485347">
    <w:abstractNumId w:val="12"/>
  </w:num>
  <w:num w:numId="21" w16cid:durableId="1419399209">
    <w:abstractNumId w:val="26"/>
  </w:num>
  <w:num w:numId="22" w16cid:durableId="1457483324">
    <w:abstractNumId w:val="17"/>
  </w:num>
  <w:num w:numId="23" w16cid:durableId="1413316570">
    <w:abstractNumId w:val="5"/>
  </w:num>
  <w:num w:numId="24" w16cid:durableId="827936840">
    <w:abstractNumId w:val="16"/>
  </w:num>
  <w:num w:numId="25" w16cid:durableId="16927228">
    <w:abstractNumId w:val="3"/>
  </w:num>
  <w:num w:numId="26" w16cid:durableId="1017998834">
    <w:abstractNumId w:val="27"/>
  </w:num>
  <w:num w:numId="27" w16cid:durableId="543828920">
    <w:abstractNumId w:val="21"/>
  </w:num>
  <w:num w:numId="28" w16cid:durableId="801537631">
    <w:abstractNumId w:val="8"/>
  </w:num>
  <w:num w:numId="29" w16cid:durableId="750467846">
    <w:abstractNumId w:val="13"/>
  </w:num>
  <w:num w:numId="30" w16cid:durableId="1701934504">
    <w:abstractNumId w:val="10"/>
  </w:num>
  <w:num w:numId="31" w16cid:durableId="755787531">
    <w:abstractNumId w:val="29"/>
  </w:num>
  <w:num w:numId="32" w16cid:durableId="130904381">
    <w:abstractNumId w:val="31"/>
  </w:num>
  <w:num w:numId="33" w16cid:durableId="2076081197">
    <w:abstractNumId w:val="43"/>
  </w:num>
  <w:num w:numId="34" w16cid:durableId="1540120750">
    <w:abstractNumId w:val="4"/>
  </w:num>
  <w:num w:numId="35" w16cid:durableId="123818999">
    <w:abstractNumId w:val="39"/>
  </w:num>
  <w:num w:numId="36" w16cid:durableId="2029138427">
    <w:abstractNumId w:val="15"/>
  </w:num>
  <w:num w:numId="37" w16cid:durableId="1522937096">
    <w:abstractNumId w:val="22"/>
  </w:num>
  <w:num w:numId="38" w16cid:durableId="1091269189">
    <w:abstractNumId w:val="0"/>
  </w:num>
  <w:num w:numId="39" w16cid:durableId="1460225715">
    <w:abstractNumId w:val="18"/>
  </w:num>
  <w:num w:numId="40" w16cid:durableId="245498021">
    <w:abstractNumId w:val="24"/>
  </w:num>
  <w:num w:numId="41" w16cid:durableId="1422752105">
    <w:abstractNumId w:val="37"/>
  </w:num>
  <w:num w:numId="42" w16cid:durableId="327635858">
    <w:abstractNumId w:val="40"/>
  </w:num>
  <w:num w:numId="43" w16cid:durableId="1245870255">
    <w:abstractNumId w:val="38"/>
  </w:num>
  <w:num w:numId="44" w16cid:durableId="15284210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4FF"/>
    <w:rsid w:val="00000C59"/>
    <w:rsid w:val="00002FD7"/>
    <w:rsid w:val="0000382D"/>
    <w:rsid w:val="0000489B"/>
    <w:rsid w:val="00007296"/>
    <w:rsid w:val="0001076C"/>
    <w:rsid w:val="00012019"/>
    <w:rsid w:val="00012318"/>
    <w:rsid w:val="000135B1"/>
    <w:rsid w:val="00014D1A"/>
    <w:rsid w:val="00015252"/>
    <w:rsid w:val="00015EE9"/>
    <w:rsid w:val="00032B33"/>
    <w:rsid w:val="000349E4"/>
    <w:rsid w:val="00036501"/>
    <w:rsid w:val="000367B1"/>
    <w:rsid w:val="00037226"/>
    <w:rsid w:val="00037815"/>
    <w:rsid w:val="0004041A"/>
    <w:rsid w:val="00040FA1"/>
    <w:rsid w:val="0004198D"/>
    <w:rsid w:val="00041E28"/>
    <w:rsid w:val="0004250A"/>
    <w:rsid w:val="00042FF1"/>
    <w:rsid w:val="000446C8"/>
    <w:rsid w:val="00050C27"/>
    <w:rsid w:val="000530BA"/>
    <w:rsid w:val="000535AB"/>
    <w:rsid w:val="000536EC"/>
    <w:rsid w:val="00053CD8"/>
    <w:rsid w:val="00053D58"/>
    <w:rsid w:val="000560F6"/>
    <w:rsid w:val="00057327"/>
    <w:rsid w:val="000601A4"/>
    <w:rsid w:val="000641BE"/>
    <w:rsid w:val="00065AE4"/>
    <w:rsid w:val="00076903"/>
    <w:rsid w:val="0008066D"/>
    <w:rsid w:val="00081611"/>
    <w:rsid w:val="00081C15"/>
    <w:rsid w:val="000822C8"/>
    <w:rsid w:val="0008230D"/>
    <w:rsid w:val="00085522"/>
    <w:rsid w:val="00086866"/>
    <w:rsid w:val="00090021"/>
    <w:rsid w:val="00090EA0"/>
    <w:rsid w:val="0009202C"/>
    <w:rsid w:val="00094A3B"/>
    <w:rsid w:val="0009580C"/>
    <w:rsid w:val="0009668D"/>
    <w:rsid w:val="000A2D7C"/>
    <w:rsid w:val="000B11CA"/>
    <w:rsid w:val="000B1F53"/>
    <w:rsid w:val="000B4326"/>
    <w:rsid w:val="000B451C"/>
    <w:rsid w:val="000B555D"/>
    <w:rsid w:val="000B6D9C"/>
    <w:rsid w:val="000C44AD"/>
    <w:rsid w:val="000C4B71"/>
    <w:rsid w:val="000C77F6"/>
    <w:rsid w:val="000C78C7"/>
    <w:rsid w:val="000C792B"/>
    <w:rsid w:val="000D2301"/>
    <w:rsid w:val="000D2E51"/>
    <w:rsid w:val="000D4532"/>
    <w:rsid w:val="000D5C0A"/>
    <w:rsid w:val="000E00A5"/>
    <w:rsid w:val="000E5B89"/>
    <w:rsid w:val="000F186A"/>
    <w:rsid w:val="000F5FF9"/>
    <w:rsid w:val="000F694F"/>
    <w:rsid w:val="000F77AA"/>
    <w:rsid w:val="001007BF"/>
    <w:rsid w:val="00101D61"/>
    <w:rsid w:val="00107B32"/>
    <w:rsid w:val="00107E41"/>
    <w:rsid w:val="00112708"/>
    <w:rsid w:val="0011469C"/>
    <w:rsid w:val="00114BBE"/>
    <w:rsid w:val="0012211E"/>
    <w:rsid w:val="00122B83"/>
    <w:rsid w:val="00132A6A"/>
    <w:rsid w:val="00135A2A"/>
    <w:rsid w:val="00136309"/>
    <w:rsid w:val="001418CA"/>
    <w:rsid w:val="00142B06"/>
    <w:rsid w:val="00144D8A"/>
    <w:rsid w:val="00162D7A"/>
    <w:rsid w:val="00163A20"/>
    <w:rsid w:val="0016504C"/>
    <w:rsid w:val="00167951"/>
    <w:rsid w:val="00173F2C"/>
    <w:rsid w:val="00175A60"/>
    <w:rsid w:val="00177887"/>
    <w:rsid w:val="00180B79"/>
    <w:rsid w:val="0018121A"/>
    <w:rsid w:val="00184FF0"/>
    <w:rsid w:val="00185CB6"/>
    <w:rsid w:val="001937C2"/>
    <w:rsid w:val="00193FA5"/>
    <w:rsid w:val="00196E04"/>
    <w:rsid w:val="001A05AC"/>
    <w:rsid w:val="001A2D74"/>
    <w:rsid w:val="001A4584"/>
    <w:rsid w:val="001A49C8"/>
    <w:rsid w:val="001A4A16"/>
    <w:rsid w:val="001A655A"/>
    <w:rsid w:val="001A6D6A"/>
    <w:rsid w:val="001A6DEA"/>
    <w:rsid w:val="001B04C7"/>
    <w:rsid w:val="001B069A"/>
    <w:rsid w:val="001B149F"/>
    <w:rsid w:val="001B1997"/>
    <w:rsid w:val="001B28C4"/>
    <w:rsid w:val="001B2C18"/>
    <w:rsid w:val="001B405A"/>
    <w:rsid w:val="001C3D96"/>
    <w:rsid w:val="001C74D5"/>
    <w:rsid w:val="001C759C"/>
    <w:rsid w:val="001C7FAE"/>
    <w:rsid w:val="001D02D2"/>
    <w:rsid w:val="001D1178"/>
    <w:rsid w:val="001D45EF"/>
    <w:rsid w:val="001D6B93"/>
    <w:rsid w:val="001E0546"/>
    <w:rsid w:val="001E0B77"/>
    <w:rsid w:val="001E2533"/>
    <w:rsid w:val="001E2CAF"/>
    <w:rsid w:val="001E63F0"/>
    <w:rsid w:val="001F16F0"/>
    <w:rsid w:val="001F259A"/>
    <w:rsid w:val="001F34ED"/>
    <w:rsid w:val="001F587E"/>
    <w:rsid w:val="001F6CB9"/>
    <w:rsid w:val="00200953"/>
    <w:rsid w:val="0020128E"/>
    <w:rsid w:val="00203FF9"/>
    <w:rsid w:val="002045D3"/>
    <w:rsid w:val="00206A68"/>
    <w:rsid w:val="00206B28"/>
    <w:rsid w:val="00206E5E"/>
    <w:rsid w:val="002077EB"/>
    <w:rsid w:val="00207B64"/>
    <w:rsid w:val="00212437"/>
    <w:rsid w:val="00212AA3"/>
    <w:rsid w:val="00213B70"/>
    <w:rsid w:val="00214174"/>
    <w:rsid w:val="00214F41"/>
    <w:rsid w:val="00225051"/>
    <w:rsid w:val="002275E9"/>
    <w:rsid w:val="002279BA"/>
    <w:rsid w:val="00227B47"/>
    <w:rsid w:val="00231C27"/>
    <w:rsid w:val="00232320"/>
    <w:rsid w:val="0023281B"/>
    <w:rsid w:val="0023399C"/>
    <w:rsid w:val="00234F2F"/>
    <w:rsid w:val="00237CC0"/>
    <w:rsid w:val="00246278"/>
    <w:rsid w:val="002467D5"/>
    <w:rsid w:val="002527F1"/>
    <w:rsid w:val="00255665"/>
    <w:rsid w:val="002569B6"/>
    <w:rsid w:val="00257CC6"/>
    <w:rsid w:val="00257FE1"/>
    <w:rsid w:val="002615C9"/>
    <w:rsid w:val="00261AAE"/>
    <w:rsid w:val="00261DBD"/>
    <w:rsid w:val="00264C17"/>
    <w:rsid w:val="00266B6C"/>
    <w:rsid w:val="0027418D"/>
    <w:rsid w:val="00274820"/>
    <w:rsid w:val="002762AB"/>
    <w:rsid w:val="0028310B"/>
    <w:rsid w:val="00283C8E"/>
    <w:rsid w:val="00283E62"/>
    <w:rsid w:val="00284A0E"/>
    <w:rsid w:val="00286DF3"/>
    <w:rsid w:val="002902D8"/>
    <w:rsid w:val="00291F09"/>
    <w:rsid w:val="0029262A"/>
    <w:rsid w:val="0029526F"/>
    <w:rsid w:val="0029543A"/>
    <w:rsid w:val="002A20EA"/>
    <w:rsid w:val="002A540D"/>
    <w:rsid w:val="002A7027"/>
    <w:rsid w:val="002A7F3F"/>
    <w:rsid w:val="002B1CC3"/>
    <w:rsid w:val="002B303E"/>
    <w:rsid w:val="002B3172"/>
    <w:rsid w:val="002B7DF4"/>
    <w:rsid w:val="002C0AFA"/>
    <w:rsid w:val="002C32DE"/>
    <w:rsid w:val="002C65B2"/>
    <w:rsid w:val="002C6F0A"/>
    <w:rsid w:val="002C6F54"/>
    <w:rsid w:val="002D16BB"/>
    <w:rsid w:val="002D3A64"/>
    <w:rsid w:val="002D3E8D"/>
    <w:rsid w:val="002D6102"/>
    <w:rsid w:val="002D6534"/>
    <w:rsid w:val="002D6ED6"/>
    <w:rsid w:val="002E059F"/>
    <w:rsid w:val="002E33AB"/>
    <w:rsid w:val="002F387B"/>
    <w:rsid w:val="002F3BCE"/>
    <w:rsid w:val="002F3EED"/>
    <w:rsid w:val="002F5C54"/>
    <w:rsid w:val="00302EC8"/>
    <w:rsid w:val="00304E41"/>
    <w:rsid w:val="0030569C"/>
    <w:rsid w:val="003070D0"/>
    <w:rsid w:val="0031239C"/>
    <w:rsid w:val="00314CBA"/>
    <w:rsid w:val="003203B4"/>
    <w:rsid w:val="00320586"/>
    <w:rsid w:val="00321016"/>
    <w:rsid w:val="003214BA"/>
    <w:rsid w:val="00322354"/>
    <w:rsid w:val="00322C5E"/>
    <w:rsid w:val="00322CCC"/>
    <w:rsid w:val="00323983"/>
    <w:rsid w:val="003246B6"/>
    <w:rsid w:val="0032519C"/>
    <w:rsid w:val="003261EA"/>
    <w:rsid w:val="00327045"/>
    <w:rsid w:val="00327FB6"/>
    <w:rsid w:val="00332125"/>
    <w:rsid w:val="00334627"/>
    <w:rsid w:val="00334A01"/>
    <w:rsid w:val="00337169"/>
    <w:rsid w:val="0034093D"/>
    <w:rsid w:val="00340FE8"/>
    <w:rsid w:val="00343B0D"/>
    <w:rsid w:val="00347E8E"/>
    <w:rsid w:val="00350721"/>
    <w:rsid w:val="00351BDA"/>
    <w:rsid w:val="003557DB"/>
    <w:rsid w:val="00355F7B"/>
    <w:rsid w:val="0036030C"/>
    <w:rsid w:val="0036263C"/>
    <w:rsid w:val="00364044"/>
    <w:rsid w:val="00364772"/>
    <w:rsid w:val="003674AF"/>
    <w:rsid w:val="003715CF"/>
    <w:rsid w:val="00371B36"/>
    <w:rsid w:val="0037540D"/>
    <w:rsid w:val="00375B80"/>
    <w:rsid w:val="003778E9"/>
    <w:rsid w:val="003818FF"/>
    <w:rsid w:val="0038276D"/>
    <w:rsid w:val="00383899"/>
    <w:rsid w:val="0038686B"/>
    <w:rsid w:val="003879DF"/>
    <w:rsid w:val="00387C90"/>
    <w:rsid w:val="00387E84"/>
    <w:rsid w:val="0039010E"/>
    <w:rsid w:val="003961C1"/>
    <w:rsid w:val="003A3CB7"/>
    <w:rsid w:val="003A5A98"/>
    <w:rsid w:val="003A6527"/>
    <w:rsid w:val="003A7566"/>
    <w:rsid w:val="003A7ABF"/>
    <w:rsid w:val="003B0669"/>
    <w:rsid w:val="003B25FA"/>
    <w:rsid w:val="003B420E"/>
    <w:rsid w:val="003B4419"/>
    <w:rsid w:val="003C1980"/>
    <w:rsid w:val="003C39E0"/>
    <w:rsid w:val="003C40AF"/>
    <w:rsid w:val="003C65CA"/>
    <w:rsid w:val="003D0B07"/>
    <w:rsid w:val="003D4866"/>
    <w:rsid w:val="003D58CE"/>
    <w:rsid w:val="003D6015"/>
    <w:rsid w:val="003D72AA"/>
    <w:rsid w:val="003E00E9"/>
    <w:rsid w:val="003E08AE"/>
    <w:rsid w:val="003E0F69"/>
    <w:rsid w:val="003E3FC3"/>
    <w:rsid w:val="003E4A6B"/>
    <w:rsid w:val="003E5F73"/>
    <w:rsid w:val="003E6B4B"/>
    <w:rsid w:val="003E7596"/>
    <w:rsid w:val="003E7700"/>
    <w:rsid w:val="003E7A88"/>
    <w:rsid w:val="003F02B5"/>
    <w:rsid w:val="003F0727"/>
    <w:rsid w:val="003F1BE1"/>
    <w:rsid w:val="003F2192"/>
    <w:rsid w:val="003F2522"/>
    <w:rsid w:val="003F6EF0"/>
    <w:rsid w:val="003F7B56"/>
    <w:rsid w:val="004009B7"/>
    <w:rsid w:val="0040259A"/>
    <w:rsid w:val="00403818"/>
    <w:rsid w:val="0040403C"/>
    <w:rsid w:val="004049B7"/>
    <w:rsid w:val="00406A19"/>
    <w:rsid w:val="00407F4D"/>
    <w:rsid w:val="00412F38"/>
    <w:rsid w:val="0041331C"/>
    <w:rsid w:val="00413763"/>
    <w:rsid w:val="00413F85"/>
    <w:rsid w:val="00415D2E"/>
    <w:rsid w:val="00417D2B"/>
    <w:rsid w:val="00420B77"/>
    <w:rsid w:val="00421B12"/>
    <w:rsid w:val="00422A6C"/>
    <w:rsid w:val="0042314D"/>
    <w:rsid w:val="00423E48"/>
    <w:rsid w:val="00426016"/>
    <w:rsid w:val="004270E2"/>
    <w:rsid w:val="00427B3C"/>
    <w:rsid w:val="00427F4D"/>
    <w:rsid w:val="00434831"/>
    <w:rsid w:val="00434941"/>
    <w:rsid w:val="00437C9F"/>
    <w:rsid w:val="00444725"/>
    <w:rsid w:val="00445E91"/>
    <w:rsid w:val="00446804"/>
    <w:rsid w:val="00450159"/>
    <w:rsid w:val="0045170D"/>
    <w:rsid w:val="00456335"/>
    <w:rsid w:val="004566CB"/>
    <w:rsid w:val="00456CB1"/>
    <w:rsid w:val="00456D6C"/>
    <w:rsid w:val="00456F3E"/>
    <w:rsid w:val="004605AD"/>
    <w:rsid w:val="00463E6F"/>
    <w:rsid w:val="00464C78"/>
    <w:rsid w:val="00477339"/>
    <w:rsid w:val="00477DC4"/>
    <w:rsid w:val="004824A0"/>
    <w:rsid w:val="00486DE7"/>
    <w:rsid w:val="00491244"/>
    <w:rsid w:val="00496A68"/>
    <w:rsid w:val="004A6861"/>
    <w:rsid w:val="004A7525"/>
    <w:rsid w:val="004A7F5F"/>
    <w:rsid w:val="004B200F"/>
    <w:rsid w:val="004B389A"/>
    <w:rsid w:val="004B783E"/>
    <w:rsid w:val="004C2ADA"/>
    <w:rsid w:val="004C2B3F"/>
    <w:rsid w:val="004C4AB1"/>
    <w:rsid w:val="004C59C7"/>
    <w:rsid w:val="004D1117"/>
    <w:rsid w:val="004D4D61"/>
    <w:rsid w:val="004D673B"/>
    <w:rsid w:val="004D7499"/>
    <w:rsid w:val="004E02A0"/>
    <w:rsid w:val="004E294A"/>
    <w:rsid w:val="004E38E0"/>
    <w:rsid w:val="004E5425"/>
    <w:rsid w:val="004E5AFF"/>
    <w:rsid w:val="004E68A7"/>
    <w:rsid w:val="004F1425"/>
    <w:rsid w:val="004F417A"/>
    <w:rsid w:val="004F5180"/>
    <w:rsid w:val="004F5415"/>
    <w:rsid w:val="0050000B"/>
    <w:rsid w:val="0050031F"/>
    <w:rsid w:val="00502ADF"/>
    <w:rsid w:val="00510AF0"/>
    <w:rsid w:val="00512950"/>
    <w:rsid w:val="00512EE6"/>
    <w:rsid w:val="0051753E"/>
    <w:rsid w:val="00517D3A"/>
    <w:rsid w:val="005202A9"/>
    <w:rsid w:val="00525D6B"/>
    <w:rsid w:val="00526041"/>
    <w:rsid w:val="00530A2D"/>
    <w:rsid w:val="00534464"/>
    <w:rsid w:val="00534C1E"/>
    <w:rsid w:val="00542814"/>
    <w:rsid w:val="005434CC"/>
    <w:rsid w:val="00545A4C"/>
    <w:rsid w:val="0054621F"/>
    <w:rsid w:val="00547A77"/>
    <w:rsid w:val="00550C83"/>
    <w:rsid w:val="00551A1B"/>
    <w:rsid w:val="00555E2D"/>
    <w:rsid w:val="0056052F"/>
    <w:rsid w:val="00562B88"/>
    <w:rsid w:val="00563D91"/>
    <w:rsid w:val="00564801"/>
    <w:rsid w:val="0056549F"/>
    <w:rsid w:val="00567190"/>
    <w:rsid w:val="005708EA"/>
    <w:rsid w:val="00570F28"/>
    <w:rsid w:val="00575122"/>
    <w:rsid w:val="00575B68"/>
    <w:rsid w:val="00575D9B"/>
    <w:rsid w:val="00576CFC"/>
    <w:rsid w:val="00580A0E"/>
    <w:rsid w:val="005811C3"/>
    <w:rsid w:val="005832FE"/>
    <w:rsid w:val="00590818"/>
    <w:rsid w:val="005927A3"/>
    <w:rsid w:val="005962E6"/>
    <w:rsid w:val="005A18A7"/>
    <w:rsid w:val="005A5EA8"/>
    <w:rsid w:val="005B0E6B"/>
    <w:rsid w:val="005B27A4"/>
    <w:rsid w:val="005B2E54"/>
    <w:rsid w:val="005B3A35"/>
    <w:rsid w:val="005B3E7F"/>
    <w:rsid w:val="005B60E1"/>
    <w:rsid w:val="005B73BA"/>
    <w:rsid w:val="005C3755"/>
    <w:rsid w:val="005C3C2B"/>
    <w:rsid w:val="005C689E"/>
    <w:rsid w:val="005C7ECB"/>
    <w:rsid w:val="005D117B"/>
    <w:rsid w:val="005D6100"/>
    <w:rsid w:val="005E0057"/>
    <w:rsid w:val="005E45C9"/>
    <w:rsid w:val="005E4C25"/>
    <w:rsid w:val="005F00AF"/>
    <w:rsid w:val="005F0514"/>
    <w:rsid w:val="005F127A"/>
    <w:rsid w:val="005F23E3"/>
    <w:rsid w:val="005F2712"/>
    <w:rsid w:val="005F3C72"/>
    <w:rsid w:val="005F3EED"/>
    <w:rsid w:val="005F42D5"/>
    <w:rsid w:val="005F793F"/>
    <w:rsid w:val="005F7C0D"/>
    <w:rsid w:val="0060174E"/>
    <w:rsid w:val="006024C1"/>
    <w:rsid w:val="0060299D"/>
    <w:rsid w:val="00602CAC"/>
    <w:rsid w:val="00606A3F"/>
    <w:rsid w:val="0061075F"/>
    <w:rsid w:val="006133EB"/>
    <w:rsid w:val="00613AB0"/>
    <w:rsid w:val="0061535D"/>
    <w:rsid w:val="00622DDB"/>
    <w:rsid w:val="00622E62"/>
    <w:rsid w:val="00624CFF"/>
    <w:rsid w:val="006255B7"/>
    <w:rsid w:val="0063555E"/>
    <w:rsid w:val="00641207"/>
    <w:rsid w:val="00641F18"/>
    <w:rsid w:val="00647369"/>
    <w:rsid w:val="00652A8A"/>
    <w:rsid w:val="00653DC4"/>
    <w:rsid w:val="0065625C"/>
    <w:rsid w:val="00657378"/>
    <w:rsid w:val="006655F5"/>
    <w:rsid w:val="00673FF3"/>
    <w:rsid w:val="00674977"/>
    <w:rsid w:val="006754A8"/>
    <w:rsid w:val="00680E71"/>
    <w:rsid w:val="006823F6"/>
    <w:rsid w:val="00684098"/>
    <w:rsid w:val="00686A84"/>
    <w:rsid w:val="00692E13"/>
    <w:rsid w:val="00693F01"/>
    <w:rsid w:val="006954E7"/>
    <w:rsid w:val="006A0575"/>
    <w:rsid w:val="006A3EAF"/>
    <w:rsid w:val="006A503A"/>
    <w:rsid w:val="006A72BA"/>
    <w:rsid w:val="006B0C70"/>
    <w:rsid w:val="006B11CA"/>
    <w:rsid w:val="006B16C1"/>
    <w:rsid w:val="006B49E0"/>
    <w:rsid w:val="006B56A5"/>
    <w:rsid w:val="006B63E7"/>
    <w:rsid w:val="006C0ABC"/>
    <w:rsid w:val="006C247B"/>
    <w:rsid w:val="006C516D"/>
    <w:rsid w:val="006C5734"/>
    <w:rsid w:val="006C6ED7"/>
    <w:rsid w:val="006C79B4"/>
    <w:rsid w:val="006D0718"/>
    <w:rsid w:val="006D19BA"/>
    <w:rsid w:val="006D2954"/>
    <w:rsid w:val="006D6A09"/>
    <w:rsid w:val="006E2F52"/>
    <w:rsid w:val="006E3B6F"/>
    <w:rsid w:val="006E3F8E"/>
    <w:rsid w:val="006E59C4"/>
    <w:rsid w:val="006E5F5B"/>
    <w:rsid w:val="006E7252"/>
    <w:rsid w:val="006F00F3"/>
    <w:rsid w:val="006F12B9"/>
    <w:rsid w:val="006F37FD"/>
    <w:rsid w:val="006F6D9B"/>
    <w:rsid w:val="006F6FD2"/>
    <w:rsid w:val="006F73A2"/>
    <w:rsid w:val="006F7500"/>
    <w:rsid w:val="006F7B2C"/>
    <w:rsid w:val="00700262"/>
    <w:rsid w:val="007016AB"/>
    <w:rsid w:val="0070237F"/>
    <w:rsid w:val="00704D84"/>
    <w:rsid w:val="00705AD7"/>
    <w:rsid w:val="007079C8"/>
    <w:rsid w:val="00707A79"/>
    <w:rsid w:val="00711719"/>
    <w:rsid w:val="00711785"/>
    <w:rsid w:val="00711A47"/>
    <w:rsid w:val="007122E4"/>
    <w:rsid w:val="00716B02"/>
    <w:rsid w:val="0072049B"/>
    <w:rsid w:val="00722498"/>
    <w:rsid w:val="00722793"/>
    <w:rsid w:val="00722977"/>
    <w:rsid w:val="007241AF"/>
    <w:rsid w:val="0072545B"/>
    <w:rsid w:val="00733771"/>
    <w:rsid w:val="00734CDF"/>
    <w:rsid w:val="007374C2"/>
    <w:rsid w:val="007410F2"/>
    <w:rsid w:val="007462DC"/>
    <w:rsid w:val="00751733"/>
    <w:rsid w:val="00751F5F"/>
    <w:rsid w:val="00753AE4"/>
    <w:rsid w:val="00754A38"/>
    <w:rsid w:val="00754E9E"/>
    <w:rsid w:val="00756F22"/>
    <w:rsid w:val="007578EE"/>
    <w:rsid w:val="0076063F"/>
    <w:rsid w:val="00762864"/>
    <w:rsid w:val="0076716C"/>
    <w:rsid w:val="00770845"/>
    <w:rsid w:val="007750B4"/>
    <w:rsid w:val="00776730"/>
    <w:rsid w:val="0078057D"/>
    <w:rsid w:val="0078092C"/>
    <w:rsid w:val="00785400"/>
    <w:rsid w:val="00785825"/>
    <w:rsid w:val="0078706F"/>
    <w:rsid w:val="007902EC"/>
    <w:rsid w:val="007904D2"/>
    <w:rsid w:val="00790C8C"/>
    <w:rsid w:val="007957C6"/>
    <w:rsid w:val="007958D9"/>
    <w:rsid w:val="00796B53"/>
    <w:rsid w:val="00797D33"/>
    <w:rsid w:val="007A0808"/>
    <w:rsid w:val="007A0CBB"/>
    <w:rsid w:val="007A17F9"/>
    <w:rsid w:val="007A1B35"/>
    <w:rsid w:val="007A1B84"/>
    <w:rsid w:val="007B1DD8"/>
    <w:rsid w:val="007B31DF"/>
    <w:rsid w:val="007B36C9"/>
    <w:rsid w:val="007B3FEE"/>
    <w:rsid w:val="007B71A8"/>
    <w:rsid w:val="007B784B"/>
    <w:rsid w:val="007C305D"/>
    <w:rsid w:val="007C3955"/>
    <w:rsid w:val="007C4837"/>
    <w:rsid w:val="007D12DA"/>
    <w:rsid w:val="007D4262"/>
    <w:rsid w:val="007D650C"/>
    <w:rsid w:val="007D67CC"/>
    <w:rsid w:val="007D690E"/>
    <w:rsid w:val="007D7F02"/>
    <w:rsid w:val="007E0677"/>
    <w:rsid w:val="007E2A18"/>
    <w:rsid w:val="007E2EE5"/>
    <w:rsid w:val="007E64B5"/>
    <w:rsid w:val="007F7250"/>
    <w:rsid w:val="008000BC"/>
    <w:rsid w:val="00800386"/>
    <w:rsid w:val="00801233"/>
    <w:rsid w:val="00801C67"/>
    <w:rsid w:val="008062E9"/>
    <w:rsid w:val="00806350"/>
    <w:rsid w:val="008071C7"/>
    <w:rsid w:val="008108E8"/>
    <w:rsid w:val="00814492"/>
    <w:rsid w:val="00814CB7"/>
    <w:rsid w:val="00817890"/>
    <w:rsid w:val="00820F5D"/>
    <w:rsid w:val="00822160"/>
    <w:rsid w:val="00823097"/>
    <w:rsid w:val="008239C8"/>
    <w:rsid w:val="00824D27"/>
    <w:rsid w:val="00825610"/>
    <w:rsid w:val="00825F69"/>
    <w:rsid w:val="0083050C"/>
    <w:rsid w:val="00833125"/>
    <w:rsid w:val="008357FA"/>
    <w:rsid w:val="00836BDC"/>
    <w:rsid w:val="0083724F"/>
    <w:rsid w:val="00840779"/>
    <w:rsid w:val="008427C2"/>
    <w:rsid w:val="00842870"/>
    <w:rsid w:val="0084696E"/>
    <w:rsid w:val="008469A9"/>
    <w:rsid w:val="008505A0"/>
    <w:rsid w:val="00851DB1"/>
    <w:rsid w:val="00852A77"/>
    <w:rsid w:val="00854018"/>
    <w:rsid w:val="00855207"/>
    <w:rsid w:val="0085576D"/>
    <w:rsid w:val="008579A4"/>
    <w:rsid w:val="008626F7"/>
    <w:rsid w:val="00862931"/>
    <w:rsid w:val="00862C3F"/>
    <w:rsid w:val="00863748"/>
    <w:rsid w:val="00863DBD"/>
    <w:rsid w:val="00865B33"/>
    <w:rsid w:val="008705E8"/>
    <w:rsid w:val="00871C59"/>
    <w:rsid w:val="008728E8"/>
    <w:rsid w:val="00875952"/>
    <w:rsid w:val="00875D84"/>
    <w:rsid w:val="00880DC2"/>
    <w:rsid w:val="00881E59"/>
    <w:rsid w:val="00884A57"/>
    <w:rsid w:val="0088589E"/>
    <w:rsid w:val="008858A2"/>
    <w:rsid w:val="008867D4"/>
    <w:rsid w:val="0089343D"/>
    <w:rsid w:val="008940C5"/>
    <w:rsid w:val="0089569F"/>
    <w:rsid w:val="008A191C"/>
    <w:rsid w:val="008A3EB6"/>
    <w:rsid w:val="008A5695"/>
    <w:rsid w:val="008A576D"/>
    <w:rsid w:val="008A6436"/>
    <w:rsid w:val="008B2A4E"/>
    <w:rsid w:val="008B5C78"/>
    <w:rsid w:val="008B72B5"/>
    <w:rsid w:val="008B7F3E"/>
    <w:rsid w:val="008C370C"/>
    <w:rsid w:val="008C45DD"/>
    <w:rsid w:val="008C583B"/>
    <w:rsid w:val="008C5FCA"/>
    <w:rsid w:val="008C6EA5"/>
    <w:rsid w:val="008C76EB"/>
    <w:rsid w:val="008D2C47"/>
    <w:rsid w:val="008D3EB0"/>
    <w:rsid w:val="008D408D"/>
    <w:rsid w:val="008D68F4"/>
    <w:rsid w:val="008D6E85"/>
    <w:rsid w:val="008E1218"/>
    <w:rsid w:val="008E1976"/>
    <w:rsid w:val="008E25FB"/>
    <w:rsid w:val="008E3015"/>
    <w:rsid w:val="008E53E0"/>
    <w:rsid w:val="008E5766"/>
    <w:rsid w:val="008E58A4"/>
    <w:rsid w:val="008E67D3"/>
    <w:rsid w:val="008F243E"/>
    <w:rsid w:val="008F2D20"/>
    <w:rsid w:val="008F3266"/>
    <w:rsid w:val="008F394A"/>
    <w:rsid w:val="008F4220"/>
    <w:rsid w:val="008F6492"/>
    <w:rsid w:val="00901625"/>
    <w:rsid w:val="00903135"/>
    <w:rsid w:val="00903368"/>
    <w:rsid w:val="009043B5"/>
    <w:rsid w:val="00906060"/>
    <w:rsid w:val="0090608B"/>
    <w:rsid w:val="0091044A"/>
    <w:rsid w:val="00912540"/>
    <w:rsid w:val="0091335B"/>
    <w:rsid w:val="00915732"/>
    <w:rsid w:val="0091685D"/>
    <w:rsid w:val="00916D34"/>
    <w:rsid w:val="009216E8"/>
    <w:rsid w:val="00926991"/>
    <w:rsid w:val="00927538"/>
    <w:rsid w:val="00932085"/>
    <w:rsid w:val="00934881"/>
    <w:rsid w:val="00935211"/>
    <w:rsid w:val="00941D7D"/>
    <w:rsid w:val="00947216"/>
    <w:rsid w:val="00950B3E"/>
    <w:rsid w:val="00952FF5"/>
    <w:rsid w:val="009530B9"/>
    <w:rsid w:val="00955AE7"/>
    <w:rsid w:val="009566BC"/>
    <w:rsid w:val="0096183A"/>
    <w:rsid w:val="009628E1"/>
    <w:rsid w:val="00965B13"/>
    <w:rsid w:val="009664A3"/>
    <w:rsid w:val="00966F90"/>
    <w:rsid w:val="00972620"/>
    <w:rsid w:val="009752F1"/>
    <w:rsid w:val="0097681D"/>
    <w:rsid w:val="00981E9D"/>
    <w:rsid w:val="0098323F"/>
    <w:rsid w:val="0098350B"/>
    <w:rsid w:val="00983804"/>
    <w:rsid w:val="00993BCA"/>
    <w:rsid w:val="0099491E"/>
    <w:rsid w:val="009A0359"/>
    <w:rsid w:val="009A0E33"/>
    <w:rsid w:val="009A770B"/>
    <w:rsid w:val="009B46AB"/>
    <w:rsid w:val="009B5E21"/>
    <w:rsid w:val="009C5C62"/>
    <w:rsid w:val="009D407B"/>
    <w:rsid w:val="009D416D"/>
    <w:rsid w:val="009D480D"/>
    <w:rsid w:val="009D4CBA"/>
    <w:rsid w:val="009D6E81"/>
    <w:rsid w:val="009E2175"/>
    <w:rsid w:val="009E23E3"/>
    <w:rsid w:val="009E7401"/>
    <w:rsid w:val="009F23AC"/>
    <w:rsid w:val="009F2F57"/>
    <w:rsid w:val="00A06116"/>
    <w:rsid w:val="00A062A0"/>
    <w:rsid w:val="00A07A85"/>
    <w:rsid w:val="00A14B01"/>
    <w:rsid w:val="00A150E5"/>
    <w:rsid w:val="00A1574E"/>
    <w:rsid w:val="00A21C7A"/>
    <w:rsid w:val="00A21EE8"/>
    <w:rsid w:val="00A24685"/>
    <w:rsid w:val="00A26C95"/>
    <w:rsid w:val="00A26DC5"/>
    <w:rsid w:val="00A300CB"/>
    <w:rsid w:val="00A32E7B"/>
    <w:rsid w:val="00A3470A"/>
    <w:rsid w:val="00A375EE"/>
    <w:rsid w:val="00A4068F"/>
    <w:rsid w:val="00A410D2"/>
    <w:rsid w:val="00A450AD"/>
    <w:rsid w:val="00A455BC"/>
    <w:rsid w:val="00A4660F"/>
    <w:rsid w:val="00A4729E"/>
    <w:rsid w:val="00A47DDC"/>
    <w:rsid w:val="00A51250"/>
    <w:rsid w:val="00A5237C"/>
    <w:rsid w:val="00A55D49"/>
    <w:rsid w:val="00A571A1"/>
    <w:rsid w:val="00A57F6F"/>
    <w:rsid w:val="00A6144D"/>
    <w:rsid w:val="00A6225E"/>
    <w:rsid w:val="00A636AC"/>
    <w:rsid w:val="00A645CF"/>
    <w:rsid w:val="00A6796D"/>
    <w:rsid w:val="00A705D8"/>
    <w:rsid w:val="00A7166F"/>
    <w:rsid w:val="00A732BB"/>
    <w:rsid w:val="00A80140"/>
    <w:rsid w:val="00A81490"/>
    <w:rsid w:val="00A817AE"/>
    <w:rsid w:val="00A823B1"/>
    <w:rsid w:val="00A82C65"/>
    <w:rsid w:val="00A8783A"/>
    <w:rsid w:val="00A90FCA"/>
    <w:rsid w:val="00A92369"/>
    <w:rsid w:val="00A94DE5"/>
    <w:rsid w:val="00A95028"/>
    <w:rsid w:val="00A96D82"/>
    <w:rsid w:val="00AA0D51"/>
    <w:rsid w:val="00AA2414"/>
    <w:rsid w:val="00AA4536"/>
    <w:rsid w:val="00AA4BE7"/>
    <w:rsid w:val="00AA4FDD"/>
    <w:rsid w:val="00AB05B0"/>
    <w:rsid w:val="00AB2950"/>
    <w:rsid w:val="00AB4142"/>
    <w:rsid w:val="00AC2FD8"/>
    <w:rsid w:val="00AC5550"/>
    <w:rsid w:val="00AC6456"/>
    <w:rsid w:val="00AC6FA1"/>
    <w:rsid w:val="00AD1772"/>
    <w:rsid w:val="00AD4AAC"/>
    <w:rsid w:val="00AE4509"/>
    <w:rsid w:val="00AE70D7"/>
    <w:rsid w:val="00AE7B69"/>
    <w:rsid w:val="00AF09C3"/>
    <w:rsid w:val="00AF27E4"/>
    <w:rsid w:val="00B01786"/>
    <w:rsid w:val="00B03426"/>
    <w:rsid w:val="00B050E0"/>
    <w:rsid w:val="00B06AA9"/>
    <w:rsid w:val="00B0720D"/>
    <w:rsid w:val="00B13ACB"/>
    <w:rsid w:val="00B13D42"/>
    <w:rsid w:val="00B15645"/>
    <w:rsid w:val="00B20F2A"/>
    <w:rsid w:val="00B21804"/>
    <w:rsid w:val="00B22159"/>
    <w:rsid w:val="00B2681C"/>
    <w:rsid w:val="00B26EE0"/>
    <w:rsid w:val="00B272C7"/>
    <w:rsid w:val="00B27D77"/>
    <w:rsid w:val="00B30934"/>
    <w:rsid w:val="00B31425"/>
    <w:rsid w:val="00B32A35"/>
    <w:rsid w:val="00B377A0"/>
    <w:rsid w:val="00B400F8"/>
    <w:rsid w:val="00B40E60"/>
    <w:rsid w:val="00B4501E"/>
    <w:rsid w:val="00B45D7F"/>
    <w:rsid w:val="00B474A1"/>
    <w:rsid w:val="00B5179B"/>
    <w:rsid w:val="00B52283"/>
    <w:rsid w:val="00B5352E"/>
    <w:rsid w:val="00B623A3"/>
    <w:rsid w:val="00B6248D"/>
    <w:rsid w:val="00B70986"/>
    <w:rsid w:val="00B70CCC"/>
    <w:rsid w:val="00B72E28"/>
    <w:rsid w:val="00B7337B"/>
    <w:rsid w:val="00B7337C"/>
    <w:rsid w:val="00B74C08"/>
    <w:rsid w:val="00B75A9D"/>
    <w:rsid w:val="00B77491"/>
    <w:rsid w:val="00B81174"/>
    <w:rsid w:val="00B82DD3"/>
    <w:rsid w:val="00B83AD5"/>
    <w:rsid w:val="00B85AFB"/>
    <w:rsid w:val="00B9185C"/>
    <w:rsid w:val="00B967C0"/>
    <w:rsid w:val="00BA0296"/>
    <w:rsid w:val="00BA13D5"/>
    <w:rsid w:val="00BA25CF"/>
    <w:rsid w:val="00BA436D"/>
    <w:rsid w:val="00BA607F"/>
    <w:rsid w:val="00BB160F"/>
    <w:rsid w:val="00BB2982"/>
    <w:rsid w:val="00BB3966"/>
    <w:rsid w:val="00BB3B0A"/>
    <w:rsid w:val="00BB46A6"/>
    <w:rsid w:val="00BB73DD"/>
    <w:rsid w:val="00BC0F50"/>
    <w:rsid w:val="00BC41A2"/>
    <w:rsid w:val="00BC5A26"/>
    <w:rsid w:val="00BC60B1"/>
    <w:rsid w:val="00BC6925"/>
    <w:rsid w:val="00BD00EC"/>
    <w:rsid w:val="00BD785F"/>
    <w:rsid w:val="00BE0CF9"/>
    <w:rsid w:val="00BE3AA7"/>
    <w:rsid w:val="00BE60B9"/>
    <w:rsid w:val="00BF03B3"/>
    <w:rsid w:val="00BF15D9"/>
    <w:rsid w:val="00BF34C2"/>
    <w:rsid w:val="00BF478A"/>
    <w:rsid w:val="00BF6FA5"/>
    <w:rsid w:val="00BF6FA9"/>
    <w:rsid w:val="00C00E76"/>
    <w:rsid w:val="00C02288"/>
    <w:rsid w:val="00C05CDC"/>
    <w:rsid w:val="00C11AD1"/>
    <w:rsid w:val="00C12180"/>
    <w:rsid w:val="00C123EE"/>
    <w:rsid w:val="00C13748"/>
    <w:rsid w:val="00C14D03"/>
    <w:rsid w:val="00C1688D"/>
    <w:rsid w:val="00C17B97"/>
    <w:rsid w:val="00C20826"/>
    <w:rsid w:val="00C2102E"/>
    <w:rsid w:val="00C21B1F"/>
    <w:rsid w:val="00C21F9C"/>
    <w:rsid w:val="00C235B1"/>
    <w:rsid w:val="00C264C9"/>
    <w:rsid w:val="00C26643"/>
    <w:rsid w:val="00C359CB"/>
    <w:rsid w:val="00C36026"/>
    <w:rsid w:val="00C36532"/>
    <w:rsid w:val="00C37BD5"/>
    <w:rsid w:val="00C37F47"/>
    <w:rsid w:val="00C424CE"/>
    <w:rsid w:val="00C43DA5"/>
    <w:rsid w:val="00C45732"/>
    <w:rsid w:val="00C45FAA"/>
    <w:rsid w:val="00C46D40"/>
    <w:rsid w:val="00C475FA"/>
    <w:rsid w:val="00C514E4"/>
    <w:rsid w:val="00C534C7"/>
    <w:rsid w:val="00C53FAD"/>
    <w:rsid w:val="00C54A2D"/>
    <w:rsid w:val="00C54EF6"/>
    <w:rsid w:val="00C55CEB"/>
    <w:rsid w:val="00C56EE3"/>
    <w:rsid w:val="00C56F4A"/>
    <w:rsid w:val="00C60295"/>
    <w:rsid w:val="00C64744"/>
    <w:rsid w:val="00C707A2"/>
    <w:rsid w:val="00C826F6"/>
    <w:rsid w:val="00C82F30"/>
    <w:rsid w:val="00C846A7"/>
    <w:rsid w:val="00C84C2F"/>
    <w:rsid w:val="00C8682B"/>
    <w:rsid w:val="00C91C15"/>
    <w:rsid w:val="00C92924"/>
    <w:rsid w:val="00C9364E"/>
    <w:rsid w:val="00C93851"/>
    <w:rsid w:val="00C94883"/>
    <w:rsid w:val="00C95C8C"/>
    <w:rsid w:val="00CA099C"/>
    <w:rsid w:val="00CA3FD0"/>
    <w:rsid w:val="00CA5011"/>
    <w:rsid w:val="00CA7131"/>
    <w:rsid w:val="00CA7225"/>
    <w:rsid w:val="00CB0009"/>
    <w:rsid w:val="00CB05FC"/>
    <w:rsid w:val="00CB28C1"/>
    <w:rsid w:val="00CB51B7"/>
    <w:rsid w:val="00CC6CFA"/>
    <w:rsid w:val="00CC6E78"/>
    <w:rsid w:val="00CC74C5"/>
    <w:rsid w:val="00CC7B10"/>
    <w:rsid w:val="00CD3A76"/>
    <w:rsid w:val="00CD4F18"/>
    <w:rsid w:val="00CE31A2"/>
    <w:rsid w:val="00CE6651"/>
    <w:rsid w:val="00CE667E"/>
    <w:rsid w:val="00CE6D2D"/>
    <w:rsid w:val="00CF021F"/>
    <w:rsid w:val="00CF0919"/>
    <w:rsid w:val="00CF0AEA"/>
    <w:rsid w:val="00CF0FB9"/>
    <w:rsid w:val="00CF106A"/>
    <w:rsid w:val="00CF1244"/>
    <w:rsid w:val="00CF29DD"/>
    <w:rsid w:val="00CF3183"/>
    <w:rsid w:val="00CF53CE"/>
    <w:rsid w:val="00CF7640"/>
    <w:rsid w:val="00CF7A1D"/>
    <w:rsid w:val="00D02425"/>
    <w:rsid w:val="00D02917"/>
    <w:rsid w:val="00D031FE"/>
    <w:rsid w:val="00D05CD1"/>
    <w:rsid w:val="00D071D1"/>
    <w:rsid w:val="00D10034"/>
    <w:rsid w:val="00D145A1"/>
    <w:rsid w:val="00D155C0"/>
    <w:rsid w:val="00D179F0"/>
    <w:rsid w:val="00D224B5"/>
    <w:rsid w:val="00D3552B"/>
    <w:rsid w:val="00D37164"/>
    <w:rsid w:val="00D40614"/>
    <w:rsid w:val="00D41872"/>
    <w:rsid w:val="00D42950"/>
    <w:rsid w:val="00D438E0"/>
    <w:rsid w:val="00D5041C"/>
    <w:rsid w:val="00D51AF2"/>
    <w:rsid w:val="00D52329"/>
    <w:rsid w:val="00D548CF"/>
    <w:rsid w:val="00D54C1A"/>
    <w:rsid w:val="00D570D4"/>
    <w:rsid w:val="00D61065"/>
    <w:rsid w:val="00D6234A"/>
    <w:rsid w:val="00D6438D"/>
    <w:rsid w:val="00D65058"/>
    <w:rsid w:val="00D653BC"/>
    <w:rsid w:val="00D65E6B"/>
    <w:rsid w:val="00D71168"/>
    <w:rsid w:val="00D742A5"/>
    <w:rsid w:val="00D74816"/>
    <w:rsid w:val="00D75E48"/>
    <w:rsid w:val="00D7782D"/>
    <w:rsid w:val="00D77EDC"/>
    <w:rsid w:val="00D80382"/>
    <w:rsid w:val="00D826E4"/>
    <w:rsid w:val="00D82FC0"/>
    <w:rsid w:val="00D84CE7"/>
    <w:rsid w:val="00D85906"/>
    <w:rsid w:val="00D90FE2"/>
    <w:rsid w:val="00D94D82"/>
    <w:rsid w:val="00D96927"/>
    <w:rsid w:val="00DA0703"/>
    <w:rsid w:val="00DA10A7"/>
    <w:rsid w:val="00DA1C01"/>
    <w:rsid w:val="00DA2118"/>
    <w:rsid w:val="00DA2727"/>
    <w:rsid w:val="00DA28E6"/>
    <w:rsid w:val="00DA3695"/>
    <w:rsid w:val="00DA5835"/>
    <w:rsid w:val="00DA61DB"/>
    <w:rsid w:val="00DA622D"/>
    <w:rsid w:val="00DA747D"/>
    <w:rsid w:val="00DB23C4"/>
    <w:rsid w:val="00DB3F32"/>
    <w:rsid w:val="00DB45D7"/>
    <w:rsid w:val="00DB533A"/>
    <w:rsid w:val="00DB67BA"/>
    <w:rsid w:val="00DC0A5D"/>
    <w:rsid w:val="00DC16BC"/>
    <w:rsid w:val="00DC3F0B"/>
    <w:rsid w:val="00DC54FA"/>
    <w:rsid w:val="00DD18D9"/>
    <w:rsid w:val="00DD2CEF"/>
    <w:rsid w:val="00DD5D86"/>
    <w:rsid w:val="00DE0029"/>
    <w:rsid w:val="00DE0361"/>
    <w:rsid w:val="00DE2361"/>
    <w:rsid w:val="00DE2690"/>
    <w:rsid w:val="00DE3565"/>
    <w:rsid w:val="00DE44E2"/>
    <w:rsid w:val="00DE5A6B"/>
    <w:rsid w:val="00DE5EC6"/>
    <w:rsid w:val="00DE66F5"/>
    <w:rsid w:val="00DF3EC4"/>
    <w:rsid w:val="00DF5B2C"/>
    <w:rsid w:val="00E10856"/>
    <w:rsid w:val="00E11969"/>
    <w:rsid w:val="00E15B70"/>
    <w:rsid w:val="00E23927"/>
    <w:rsid w:val="00E24C73"/>
    <w:rsid w:val="00E255B2"/>
    <w:rsid w:val="00E26E45"/>
    <w:rsid w:val="00E3013F"/>
    <w:rsid w:val="00E342CB"/>
    <w:rsid w:val="00E35F08"/>
    <w:rsid w:val="00E3721A"/>
    <w:rsid w:val="00E417E1"/>
    <w:rsid w:val="00E43270"/>
    <w:rsid w:val="00E44A27"/>
    <w:rsid w:val="00E44E67"/>
    <w:rsid w:val="00E50DE2"/>
    <w:rsid w:val="00E5229E"/>
    <w:rsid w:val="00E53BB0"/>
    <w:rsid w:val="00E55895"/>
    <w:rsid w:val="00E561D6"/>
    <w:rsid w:val="00E60535"/>
    <w:rsid w:val="00E62105"/>
    <w:rsid w:val="00E634CA"/>
    <w:rsid w:val="00E643A3"/>
    <w:rsid w:val="00E67AFD"/>
    <w:rsid w:val="00E700DC"/>
    <w:rsid w:val="00E71B4E"/>
    <w:rsid w:val="00E7273D"/>
    <w:rsid w:val="00E80247"/>
    <w:rsid w:val="00E812DF"/>
    <w:rsid w:val="00E84973"/>
    <w:rsid w:val="00E856F0"/>
    <w:rsid w:val="00E865C5"/>
    <w:rsid w:val="00E91364"/>
    <w:rsid w:val="00E91392"/>
    <w:rsid w:val="00E91A78"/>
    <w:rsid w:val="00E92AA4"/>
    <w:rsid w:val="00E93CDC"/>
    <w:rsid w:val="00E959F9"/>
    <w:rsid w:val="00E95B2E"/>
    <w:rsid w:val="00E97B37"/>
    <w:rsid w:val="00E97F75"/>
    <w:rsid w:val="00EA548D"/>
    <w:rsid w:val="00EA754D"/>
    <w:rsid w:val="00EC1063"/>
    <w:rsid w:val="00EC286E"/>
    <w:rsid w:val="00EC3B28"/>
    <w:rsid w:val="00EC3C7F"/>
    <w:rsid w:val="00EC4CCA"/>
    <w:rsid w:val="00EC7301"/>
    <w:rsid w:val="00ED4DD7"/>
    <w:rsid w:val="00ED56B5"/>
    <w:rsid w:val="00ED59EB"/>
    <w:rsid w:val="00ED69C4"/>
    <w:rsid w:val="00ED6A54"/>
    <w:rsid w:val="00ED74D4"/>
    <w:rsid w:val="00ED7685"/>
    <w:rsid w:val="00EE24B7"/>
    <w:rsid w:val="00EE3678"/>
    <w:rsid w:val="00EE3FE3"/>
    <w:rsid w:val="00EF1D94"/>
    <w:rsid w:val="00EF3677"/>
    <w:rsid w:val="00EF45FE"/>
    <w:rsid w:val="00EF492D"/>
    <w:rsid w:val="00EF4ABE"/>
    <w:rsid w:val="00EF4AF5"/>
    <w:rsid w:val="00EF5023"/>
    <w:rsid w:val="00EF5BA5"/>
    <w:rsid w:val="00EF6FE6"/>
    <w:rsid w:val="00EF785C"/>
    <w:rsid w:val="00F01A37"/>
    <w:rsid w:val="00F04988"/>
    <w:rsid w:val="00F05799"/>
    <w:rsid w:val="00F05840"/>
    <w:rsid w:val="00F071D3"/>
    <w:rsid w:val="00F07B80"/>
    <w:rsid w:val="00F1021A"/>
    <w:rsid w:val="00F10950"/>
    <w:rsid w:val="00F11008"/>
    <w:rsid w:val="00F122D9"/>
    <w:rsid w:val="00F12A08"/>
    <w:rsid w:val="00F14C3F"/>
    <w:rsid w:val="00F16427"/>
    <w:rsid w:val="00F1755F"/>
    <w:rsid w:val="00F2241D"/>
    <w:rsid w:val="00F2264F"/>
    <w:rsid w:val="00F2284E"/>
    <w:rsid w:val="00F234CD"/>
    <w:rsid w:val="00F257BE"/>
    <w:rsid w:val="00F26DB1"/>
    <w:rsid w:val="00F27F9A"/>
    <w:rsid w:val="00F33B4F"/>
    <w:rsid w:val="00F3448C"/>
    <w:rsid w:val="00F35B44"/>
    <w:rsid w:val="00F422D7"/>
    <w:rsid w:val="00F4273F"/>
    <w:rsid w:val="00F43062"/>
    <w:rsid w:val="00F4400A"/>
    <w:rsid w:val="00F53E57"/>
    <w:rsid w:val="00F610E4"/>
    <w:rsid w:val="00F6111A"/>
    <w:rsid w:val="00F61BB7"/>
    <w:rsid w:val="00F63361"/>
    <w:rsid w:val="00F647AC"/>
    <w:rsid w:val="00F724BE"/>
    <w:rsid w:val="00F7361B"/>
    <w:rsid w:val="00F8018F"/>
    <w:rsid w:val="00F81283"/>
    <w:rsid w:val="00F827E9"/>
    <w:rsid w:val="00F8327C"/>
    <w:rsid w:val="00F834ED"/>
    <w:rsid w:val="00F850E5"/>
    <w:rsid w:val="00F901D9"/>
    <w:rsid w:val="00F94C39"/>
    <w:rsid w:val="00F96C32"/>
    <w:rsid w:val="00FA0892"/>
    <w:rsid w:val="00FA21FE"/>
    <w:rsid w:val="00FA31B3"/>
    <w:rsid w:val="00FB19B1"/>
    <w:rsid w:val="00FB273B"/>
    <w:rsid w:val="00FB3AC9"/>
    <w:rsid w:val="00FB6641"/>
    <w:rsid w:val="00FB7D71"/>
    <w:rsid w:val="00FC04FA"/>
    <w:rsid w:val="00FC2C0F"/>
    <w:rsid w:val="00FC3105"/>
    <w:rsid w:val="00FC461F"/>
    <w:rsid w:val="00FC4927"/>
    <w:rsid w:val="00FD07A0"/>
    <w:rsid w:val="00FD10E3"/>
    <w:rsid w:val="00FD1D09"/>
    <w:rsid w:val="00FD29DC"/>
    <w:rsid w:val="00FD2D02"/>
    <w:rsid w:val="00FD2E27"/>
    <w:rsid w:val="00FD43E8"/>
    <w:rsid w:val="00FD58BF"/>
    <w:rsid w:val="00FD654E"/>
    <w:rsid w:val="00FE0213"/>
    <w:rsid w:val="00FE0B13"/>
    <w:rsid w:val="00FE1B7F"/>
    <w:rsid w:val="00FE20D0"/>
    <w:rsid w:val="00FE22A9"/>
    <w:rsid w:val="00FE5CE7"/>
    <w:rsid w:val="00FF2118"/>
    <w:rsid w:val="00FF225A"/>
    <w:rsid w:val="00FF39B0"/>
    <w:rsid w:val="00FF3DF1"/>
    <w:rsid w:val="00FF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3872"/>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F1021A"/>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qFormat/>
    <w:rsid w:val="00B474A1"/>
    <w:pPr>
      <w:tabs>
        <w:tab w:val="num" w:pos="3600"/>
      </w:tabs>
      <w:spacing w:before="0"/>
      <w:ind w:left="3600" w:hanging="720"/>
      <w:outlineLvl w:val="6"/>
    </w:pPr>
    <w:rPr>
      <w:rFonts w:eastAsia="Times New Roman" w:cs="Times New Roman"/>
      <w:szCs w:val="20"/>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qFormat/>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ind w:left="360"/>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DA3695"/>
    <w:pPr>
      <w:tabs>
        <w:tab w:val="left" w:pos="2205"/>
      </w:tabs>
      <w:spacing w:before="60" w:after="60" w:line="240" w:lineRule="auto"/>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tabs>
        <w:tab w:val="num" w:pos="360"/>
      </w:tabs>
      <w:ind w:left="247" w:hanging="247"/>
    </w:pPr>
    <w:rPr>
      <w:szCs w:val="22"/>
    </w:rPr>
  </w:style>
  <w:style w:type="paragraph" w:customStyle="1" w:styleId="HSAGTableBullet2">
    <w:name w:val="HSAG Table Bullet 2"/>
    <w:basedOn w:val="HSAGTableBullet1"/>
    <w:qFormat/>
    <w:rsid w:val="00D65058"/>
    <w:pPr>
      <w:numPr>
        <w:numId w:val="7"/>
      </w:numPr>
    </w:p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iPriority w:val="99"/>
    <w:unhideWhenUsed/>
    <w:rsid w:val="006E3B6F"/>
    <w:rPr>
      <w:color w:val="0000FF" w:themeColor="hyperlink"/>
      <w:u w:val="single"/>
    </w:rPr>
  </w:style>
  <w:style w:type="paragraph" w:customStyle="1" w:styleId="TableNumber1">
    <w:name w:val="Table Number 1"/>
    <w:basedOn w:val="Normal"/>
    <w:qFormat/>
    <w:rsid w:val="008000BC"/>
    <w:pPr>
      <w:numPr>
        <w:numId w:val="8"/>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9"/>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qFormat/>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aliases w:val="F1"/>
    <w:basedOn w:val="Normal"/>
    <w:link w:val="FootnoteTextChar"/>
    <w:uiPriority w:val="99"/>
    <w:rsid w:val="00B13ACB"/>
    <w:pPr>
      <w:spacing w:before="0"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13ACB"/>
    <w:rPr>
      <w:rFonts w:ascii="Times New Roman" w:eastAsia="Times New Roman" w:hAnsi="Times New Roman" w:cs="Times New Roman"/>
      <w:sz w:val="20"/>
      <w:szCs w:val="20"/>
    </w:rPr>
  </w:style>
  <w:style w:type="character" w:styleId="CommentReference">
    <w:name w:val="annotation reference"/>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qFormat/>
    <w:rsid w:val="00B13ACB"/>
    <w:pPr>
      <w:numPr>
        <w:numId w:val="11"/>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10"/>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2"/>
      </w:numPr>
      <w:spacing w:before="60" w:after="60"/>
    </w:pPr>
    <w:rPr>
      <w:rFonts w:eastAsia="Times New Roman" w:cs="Times New Roman"/>
      <w:sz w:val="22"/>
    </w:rPr>
  </w:style>
  <w:style w:type="paragraph" w:customStyle="1" w:styleId="Contract-para-nr">
    <w:name w:val="Contract-para-nr"/>
    <w:basedOn w:val="Normal"/>
    <w:rsid w:val="009B5E21"/>
    <w:pPr>
      <w:spacing w:before="0" w:after="0"/>
      <w:jc w:val="right"/>
    </w:pPr>
    <w:rPr>
      <w:rFonts w:eastAsia="Times New Roman" w:cs="Times New Roman"/>
      <w:sz w:val="18"/>
      <w:szCs w:val="24"/>
    </w:rPr>
  </w:style>
  <w:style w:type="character" w:customStyle="1" w:styleId="ListNoNumChar">
    <w:name w:val="ListNoNum Char"/>
    <w:rsid w:val="009B5E21"/>
    <w:rPr>
      <w:sz w:val="22"/>
      <w:szCs w:val="24"/>
      <w:lang w:val="en-US" w:eastAsia="en-US" w:bidi="ar-SA"/>
    </w:rPr>
  </w:style>
  <w:style w:type="paragraph" w:customStyle="1" w:styleId="ListNoNum-2">
    <w:name w:val="ListNoNum-2"/>
    <w:basedOn w:val="Normal"/>
    <w:link w:val="ListNoNum-2Char1"/>
    <w:rsid w:val="004049B7"/>
    <w:pPr>
      <w:tabs>
        <w:tab w:val="left" w:pos="720"/>
      </w:tabs>
      <w:spacing w:before="20" w:after="2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4049B7"/>
    <w:rPr>
      <w:rFonts w:ascii="Times New Roman" w:eastAsia="Times New Roman" w:hAnsi="Times New Roman" w:cs="Times New Roman"/>
      <w:szCs w:val="24"/>
    </w:rPr>
  </w:style>
  <w:style w:type="paragraph" w:customStyle="1" w:styleId="TableL-TNR10-B">
    <w:name w:val="Table_L-TNR10-B"/>
    <w:basedOn w:val="Normal"/>
    <w:rsid w:val="009B5E21"/>
    <w:pPr>
      <w:spacing w:before="40" w:after="20"/>
    </w:pPr>
    <w:rPr>
      <w:rFonts w:eastAsia="Times New Roman" w:cs="Times New Roman"/>
      <w:b/>
      <w:sz w:val="20"/>
      <w:szCs w:val="20"/>
    </w:rPr>
  </w:style>
  <w:style w:type="paragraph" w:customStyle="1" w:styleId="TableL-TNR11-B">
    <w:name w:val="Table_L-TNR11-B"/>
    <w:basedOn w:val="Normal"/>
    <w:rsid w:val="0041331C"/>
    <w:pPr>
      <w:spacing w:before="40" w:after="20"/>
    </w:pPr>
    <w:rPr>
      <w:rFonts w:eastAsia="Times New Roman" w:cs="Times New Roman"/>
      <w:b/>
      <w:sz w:val="22"/>
    </w:rPr>
  </w:style>
  <w:style w:type="paragraph" w:customStyle="1" w:styleId="TableC-Ar09-B">
    <w:name w:val="Table_C-Ar09-B"/>
    <w:basedOn w:val="Normal"/>
    <w:rsid w:val="0091335B"/>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91335B"/>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91335B"/>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91335B"/>
    <w:pPr>
      <w:spacing w:after="20"/>
      <w:ind w:right="144"/>
      <w:jc w:val="right"/>
    </w:pPr>
    <w:rPr>
      <w:bCs/>
      <w:sz w:val="22"/>
      <w:szCs w:val="22"/>
    </w:rPr>
  </w:style>
  <w:style w:type="paragraph" w:customStyle="1" w:styleId="ListNoNum">
    <w:name w:val="ListNoNum"/>
    <w:basedOn w:val="Normal"/>
    <w:link w:val="ListNoNumChar1"/>
    <w:rsid w:val="004F417A"/>
    <w:pPr>
      <w:spacing w:before="0" w:after="0"/>
      <w:ind w:left="360" w:hanging="360"/>
    </w:pPr>
    <w:rPr>
      <w:rFonts w:eastAsia="Times New Roman" w:cs="Times New Roman"/>
      <w:sz w:val="22"/>
      <w:szCs w:val="24"/>
    </w:rPr>
  </w:style>
  <w:style w:type="paragraph" w:customStyle="1" w:styleId="ListNoNum-B">
    <w:name w:val="ListNoNum-B"/>
    <w:basedOn w:val="ListNoNum"/>
    <w:rsid w:val="004049B7"/>
    <w:pPr>
      <w:spacing w:before="20" w:after="20"/>
    </w:pPr>
    <w:rPr>
      <w:b/>
      <w:szCs w:val="22"/>
    </w:rPr>
  </w:style>
  <w:style w:type="character" w:customStyle="1" w:styleId="ListNoNumChar1">
    <w:name w:val="ListNoNum Char1"/>
    <w:link w:val="ListNoNum"/>
    <w:rsid w:val="004F417A"/>
    <w:rPr>
      <w:rFonts w:ascii="Times New Roman" w:eastAsia="Times New Roman" w:hAnsi="Times New Roman" w:cs="Times New Roman"/>
      <w:szCs w:val="24"/>
    </w:rPr>
  </w:style>
  <w:style w:type="paragraph" w:customStyle="1" w:styleId="ListNoNum-3">
    <w:name w:val="ListNoNum-3"/>
    <w:basedOn w:val="ListNoNum-2"/>
    <w:link w:val="ListNoNum-3Char"/>
    <w:qFormat/>
    <w:rsid w:val="00B272C7"/>
    <w:pPr>
      <w:tabs>
        <w:tab w:val="clear" w:pos="720"/>
        <w:tab w:val="left" w:pos="396"/>
      </w:tabs>
      <w:ind w:left="1152"/>
    </w:pPr>
  </w:style>
  <w:style w:type="character" w:customStyle="1" w:styleId="ListNoNum-3Char">
    <w:name w:val="ListNoNum-3 Char"/>
    <w:basedOn w:val="ListNoNum-2Char1"/>
    <w:link w:val="ListNoNum-3"/>
    <w:rsid w:val="00B272C7"/>
    <w:rPr>
      <w:rFonts w:ascii="Times New Roman" w:eastAsia="Times New Roman" w:hAnsi="Times New Roman" w:cs="Times New Roman"/>
      <w:szCs w:val="24"/>
    </w:rPr>
  </w:style>
  <w:style w:type="character" w:customStyle="1" w:styleId="ListNoNum-BChar">
    <w:name w:val="ListNoNum-B Char"/>
    <w:rsid w:val="008469A9"/>
    <w:rPr>
      <w:b/>
      <w:bCs w:val="0"/>
      <w:sz w:val="22"/>
      <w:szCs w:val="22"/>
      <w:lang w:val="en-US" w:eastAsia="en-US" w:bidi="ar-SA"/>
    </w:rPr>
  </w:style>
  <w:style w:type="character" w:customStyle="1" w:styleId="Heading7Char">
    <w:name w:val="Heading 7 Char"/>
    <w:basedOn w:val="DefaultParagraphFont"/>
    <w:link w:val="Heading7"/>
    <w:uiPriority w:val="9"/>
    <w:rsid w:val="00B474A1"/>
    <w:rPr>
      <w:rFonts w:ascii="Times New Roman" w:eastAsia="Times New Roman" w:hAnsi="Times New Roman" w:cs="Times New Roman"/>
      <w:sz w:val="24"/>
      <w:szCs w:val="20"/>
    </w:rPr>
  </w:style>
  <w:style w:type="paragraph" w:customStyle="1" w:styleId="ListNoNumBullet-1">
    <w:name w:val="ListNoNum_Bullet-1"/>
    <w:basedOn w:val="Normal"/>
    <w:rsid w:val="00B474A1"/>
    <w:pPr>
      <w:numPr>
        <w:numId w:val="13"/>
      </w:numPr>
      <w:spacing w:before="20" w:after="20"/>
    </w:pPr>
    <w:rPr>
      <w:rFonts w:eastAsia="Times New Roman" w:cs="Times New Roman"/>
      <w:sz w:val="22"/>
      <w:szCs w:val="24"/>
    </w:rPr>
  </w:style>
  <w:style w:type="character" w:styleId="UnresolvedMention">
    <w:name w:val="Unresolved Mention"/>
    <w:basedOn w:val="DefaultParagraphFont"/>
    <w:uiPriority w:val="99"/>
    <w:semiHidden/>
    <w:unhideWhenUsed/>
    <w:rsid w:val="003E4A6B"/>
    <w:rPr>
      <w:color w:val="808080"/>
      <w:shd w:val="clear" w:color="auto" w:fill="E6E6E6"/>
    </w:rPr>
  </w:style>
  <w:style w:type="paragraph" w:customStyle="1" w:styleId="Header-Center">
    <w:name w:val="Header-Center"/>
    <w:basedOn w:val="Header"/>
    <w:rsid w:val="008F2D20"/>
    <w:pPr>
      <w:tabs>
        <w:tab w:val="clear" w:pos="4680"/>
        <w:tab w:val="clear" w:pos="9360"/>
        <w:tab w:val="center" w:pos="4320"/>
        <w:tab w:val="right" w:pos="8640"/>
      </w:tabs>
      <w:spacing w:before="0"/>
      <w:jc w:val="center"/>
    </w:pPr>
    <w:rPr>
      <w:rFonts w:ascii="Arial Rounded MT Bold" w:eastAsia="Times New Roman" w:hAnsi="Arial Rounded MT Bold" w:cs="Times New Roman"/>
      <w:bCs/>
      <w:iCs/>
      <w:shadow/>
      <w:color w:val="003366"/>
      <w:sz w:val="22"/>
      <w:szCs w:val="24"/>
    </w:rPr>
  </w:style>
  <w:style w:type="paragraph" w:customStyle="1" w:styleId="ListBullet1">
    <w:name w:val="List Bullet1"/>
    <w:basedOn w:val="Normal"/>
    <w:rsid w:val="00032B33"/>
    <w:pPr>
      <w:numPr>
        <w:numId w:val="14"/>
      </w:numPr>
      <w:spacing w:before="60" w:after="60"/>
    </w:pPr>
    <w:rPr>
      <w:rFonts w:eastAsia="Times New Roman" w:cs="Times New Roman"/>
      <w:szCs w:val="20"/>
    </w:rPr>
  </w:style>
  <w:style w:type="paragraph" w:customStyle="1" w:styleId="TableL-TNR11">
    <w:name w:val="Table_L-TNR11"/>
    <w:basedOn w:val="Normal"/>
    <w:rsid w:val="00032B33"/>
    <w:pPr>
      <w:spacing w:before="40" w:after="20"/>
    </w:pPr>
    <w:rPr>
      <w:rFonts w:eastAsia="Times New Roman" w:cs="Times New Roman"/>
      <w:sz w:val="22"/>
      <w:szCs w:val="24"/>
    </w:rPr>
  </w:style>
  <w:style w:type="paragraph" w:customStyle="1" w:styleId="TableC-TNR11">
    <w:name w:val="Table_C-TNR11"/>
    <w:basedOn w:val="TableL-TNR11"/>
    <w:rsid w:val="00032B33"/>
    <w:pPr>
      <w:jc w:val="center"/>
    </w:pPr>
  </w:style>
  <w:style w:type="paragraph" w:customStyle="1" w:styleId="Contents">
    <w:name w:val="Contents"/>
    <w:next w:val="HSAGTableText"/>
    <w:rsid w:val="00032B33"/>
    <w:pPr>
      <w:shd w:val="clear" w:color="auto" w:fill="00549E"/>
      <w:spacing w:after="0" w:line="240" w:lineRule="auto"/>
      <w:jc w:val="right"/>
    </w:pPr>
    <w:rPr>
      <w:rFonts w:ascii="Calibri" w:hAnsi="Calibri"/>
      <w:b/>
      <w:noProof/>
      <w:color w:val="FFFFFF"/>
      <w:sz w:val="32"/>
      <w:szCs w:val="32"/>
    </w:rPr>
  </w:style>
  <w:style w:type="paragraph" w:styleId="PlainText">
    <w:name w:val="Plain Text"/>
    <w:basedOn w:val="Normal"/>
    <w:link w:val="PlainTextChar"/>
    <w:uiPriority w:val="99"/>
    <w:semiHidden/>
    <w:unhideWhenUsed/>
    <w:rsid w:val="00032B33"/>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2B33"/>
    <w:rPr>
      <w:rFonts w:ascii="Consolas" w:hAnsi="Consolas" w:cs="Consolas"/>
      <w:sz w:val="21"/>
      <w:szCs w:val="21"/>
    </w:rPr>
  </w:style>
  <w:style w:type="paragraph" w:styleId="NormalIndent">
    <w:name w:val="Normal Indent"/>
    <w:basedOn w:val="Normal"/>
    <w:uiPriority w:val="99"/>
    <w:semiHidden/>
    <w:unhideWhenUsed/>
    <w:rsid w:val="00032B33"/>
    <w:pPr>
      <w:ind w:left="720"/>
    </w:pPr>
  </w:style>
  <w:style w:type="character" w:styleId="FootnoteReference">
    <w:name w:val="footnote reference"/>
    <w:basedOn w:val="DefaultParagraphFont"/>
    <w:uiPriority w:val="99"/>
    <w:unhideWhenUsed/>
    <w:rsid w:val="00032B33"/>
    <w:rPr>
      <w:vertAlign w:val="superscript"/>
    </w:rPr>
  </w:style>
  <w:style w:type="paragraph" w:styleId="BodyTextIndent">
    <w:name w:val="Body Text Indent"/>
    <w:aliases w:val="Char"/>
    <w:basedOn w:val="Normal"/>
    <w:link w:val="BodyTextIndentChar"/>
    <w:unhideWhenUsed/>
    <w:rsid w:val="00032B33"/>
    <w:pPr>
      <w:spacing w:after="120"/>
      <w:ind w:left="360"/>
    </w:pPr>
  </w:style>
  <w:style w:type="character" w:customStyle="1" w:styleId="BodyTextIndentChar">
    <w:name w:val="Body Text Indent Char"/>
    <w:aliases w:val="Char Char"/>
    <w:basedOn w:val="DefaultParagraphFont"/>
    <w:link w:val="BodyTextIndent"/>
    <w:rsid w:val="00032B33"/>
    <w:rPr>
      <w:rFonts w:ascii="Times New Roman" w:hAnsi="Times New Roman"/>
      <w:sz w:val="24"/>
    </w:rPr>
  </w:style>
  <w:style w:type="paragraph" w:customStyle="1" w:styleId="TableLegend">
    <w:name w:val="TableLegend"/>
    <w:basedOn w:val="Normal"/>
    <w:rsid w:val="00032B33"/>
    <w:pPr>
      <w:spacing w:before="120" w:after="120"/>
    </w:pPr>
    <w:rPr>
      <w:rFonts w:ascii="Arial" w:eastAsia="Times New Roman" w:hAnsi="Arial" w:cs="Arial"/>
      <w:kern w:val="22"/>
      <w:sz w:val="22"/>
      <w:szCs w:val="24"/>
    </w:rPr>
  </w:style>
  <w:style w:type="character" w:customStyle="1" w:styleId="HP-Style0">
    <w:name w:val="[HP-Style]"/>
    <w:rsid w:val="00032B33"/>
    <w:rPr>
      <w:b/>
      <w:color w:val="003366"/>
    </w:rPr>
  </w:style>
  <w:style w:type="paragraph" w:customStyle="1" w:styleId="TableC-Ar10-B">
    <w:name w:val="Table_C-Ar10-B"/>
    <w:basedOn w:val="Normal"/>
    <w:rsid w:val="00032B33"/>
    <w:pPr>
      <w:spacing w:before="20" w:after="0"/>
      <w:jc w:val="center"/>
    </w:pPr>
    <w:rPr>
      <w:rFonts w:ascii="Arial Bold" w:eastAsia="Times New Roman" w:hAnsi="Arial Bold" w:cs="Times New Roman"/>
      <w:b/>
      <w:sz w:val="20"/>
      <w:szCs w:val="20"/>
    </w:rPr>
  </w:style>
  <w:style w:type="paragraph" w:customStyle="1" w:styleId="TableL-Ar10-B">
    <w:name w:val="Table_L-Ar10-B"/>
    <w:basedOn w:val="Normal"/>
    <w:rsid w:val="00032B33"/>
    <w:pPr>
      <w:spacing w:before="20" w:after="0"/>
    </w:pPr>
    <w:rPr>
      <w:rFonts w:ascii="Arial Bold" w:eastAsia="Times New Roman" w:hAnsi="Arial Bold" w:cs="Times New Roman"/>
      <w:b/>
      <w:sz w:val="20"/>
      <w:szCs w:val="20"/>
    </w:rPr>
  </w:style>
  <w:style w:type="paragraph" w:customStyle="1" w:styleId="TableC-Wh-Ar10-B">
    <w:name w:val="Table_C-Wh-Ar10-B"/>
    <w:basedOn w:val="Normal"/>
    <w:rsid w:val="00032B33"/>
    <w:pPr>
      <w:spacing w:before="40" w:after="20"/>
      <w:jc w:val="center"/>
    </w:pPr>
    <w:rPr>
      <w:rFonts w:ascii="Arial" w:eastAsia="Times New Roman" w:hAnsi="Arial" w:cs="Times New Roman"/>
      <w:b/>
      <w:color w:val="FFFFFF"/>
      <w:sz w:val="20"/>
      <w:szCs w:val="20"/>
    </w:rPr>
  </w:style>
  <w:style w:type="paragraph" w:customStyle="1" w:styleId="TableC-TNR11-B">
    <w:name w:val="Table_C-TNR11-B"/>
    <w:basedOn w:val="Normal"/>
    <w:rsid w:val="00032B33"/>
    <w:pPr>
      <w:spacing w:before="40" w:after="20"/>
      <w:jc w:val="center"/>
    </w:pPr>
    <w:rPr>
      <w:rFonts w:eastAsia="Times New Roman" w:cs="Times New Roman"/>
      <w:b/>
      <w:sz w:val="22"/>
    </w:rPr>
  </w:style>
  <w:style w:type="paragraph" w:customStyle="1" w:styleId="TableHeading-CWhite">
    <w:name w:val="TableHeading-C_White"/>
    <w:basedOn w:val="Normal"/>
    <w:rsid w:val="00032B33"/>
    <w:pPr>
      <w:spacing w:before="40" w:after="20"/>
      <w:jc w:val="center"/>
    </w:pPr>
    <w:rPr>
      <w:rFonts w:ascii="Arial" w:eastAsia="Times New Roman" w:hAnsi="Arial" w:cs="Times New Roman"/>
      <w:b/>
      <w:color w:val="FFFFFF"/>
      <w:sz w:val="20"/>
      <w:szCs w:val="20"/>
    </w:rPr>
  </w:style>
  <w:style w:type="paragraph" w:customStyle="1" w:styleId="TableL-Ar08-B">
    <w:name w:val="Table_L-Ar08-B"/>
    <w:basedOn w:val="TableL-TNR11"/>
    <w:rsid w:val="00032B33"/>
    <w:pPr>
      <w:spacing w:before="20" w:after="0"/>
    </w:pPr>
    <w:rPr>
      <w:rFonts w:ascii="Arial Bold" w:hAnsi="Arial Bold"/>
      <w:b/>
      <w:sz w:val="16"/>
      <w:szCs w:val="16"/>
    </w:rPr>
  </w:style>
  <w:style w:type="paragraph" w:customStyle="1" w:styleId="TableC-Ar08-B">
    <w:name w:val="Table_C-Ar08-B"/>
    <w:basedOn w:val="TableL-Ar08-B"/>
    <w:rsid w:val="00032B33"/>
    <w:pPr>
      <w:jc w:val="center"/>
    </w:pPr>
  </w:style>
  <w:style w:type="paragraph" w:customStyle="1" w:styleId="TableL-Ar09-B">
    <w:name w:val="Table_L-Ar09-B"/>
    <w:basedOn w:val="TableL-Ar08-B"/>
    <w:rsid w:val="00032B33"/>
    <w:rPr>
      <w:sz w:val="18"/>
      <w:szCs w:val="18"/>
    </w:rPr>
  </w:style>
  <w:style w:type="paragraph" w:customStyle="1" w:styleId="TableLegend-L-Ar08">
    <w:name w:val="Table_Legend-L-Ar08"/>
    <w:basedOn w:val="Normal"/>
    <w:rsid w:val="00032B33"/>
    <w:pPr>
      <w:spacing w:before="20" w:after="20"/>
    </w:pPr>
    <w:rPr>
      <w:rFonts w:ascii="Arial" w:eastAsia="Times New Roman" w:hAnsi="Arial" w:cs="Times New Roman"/>
      <w:kern w:val="22"/>
      <w:sz w:val="16"/>
      <w:szCs w:val="16"/>
    </w:rPr>
  </w:style>
  <w:style w:type="paragraph" w:customStyle="1" w:styleId="HSAGTitlePage1">
    <w:name w:val="HSAG Title Page 1"/>
    <w:basedOn w:val="Normal"/>
    <w:qFormat/>
    <w:rsid w:val="00032B33"/>
    <w:pPr>
      <w:spacing w:before="360" w:after="0"/>
      <w:ind w:right="864"/>
      <w:jc w:val="right"/>
    </w:pPr>
    <w:rPr>
      <w:rFonts w:ascii="Calibri" w:hAnsi="Calibri"/>
      <w:b/>
      <w:color w:val="00549E"/>
      <w:sz w:val="56"/>
    </w:rPr>
  </w:style>
  <w:style w:type="paragraph" w:customStyle="1" w:styleId="HSAGPageTitle4">
    <w:name w:val="HSAG Page Title 4"/>
    <w:basedOn w:val="Normal"/>
    <w:rsid w:val="00032B33"/>
    <w:pPr>
      <w:spacing w:before="120" w:after="0"/>
      <w:ind w:right="864"/>
      <w:jc w:val="right"/>
      <w:outlineLvl w:val="0"/>
    </w:pPr>
    <w:rPr>
      <w:rFonts w:ascii="Calibri" w:hAnsi="Calibri"/>
      <w:color w:val="00549E"/>
      <w:sz w:val="44"/>
      <w:szCs w:val="44"/>
    </w:rPr>
  </w:style>
  <w:style w:type="paragraph" w:customStyle="1" w:styleId="HSAGTitlePage2">
    <w:name w:val="HSAG Title Page 2"/>
    <w:basedOn w:val="HSAGPageTitle4"/>
    <w:qFormat/>
    <w:rsid w:val="00032B33"/>
    <w:pPr>
      <w:framePr w:hSpace="187" w:wrap="around" w:vAnchor="text" w:hAnchor="text" w:xAlign="right" w:y="1"/>
      <w:suppressOverlap/>
    </w:pPr>
    <w:rPr>
      <w:i/>
    </w:rPr>
  </w:style>
  <w:style w:type="paragraph" w:styleId="TOC8">
    <w:name w:val="toc 8"/>
    <w:basedOn w:val="Normal"/>
    <w:next w:val="Normal"/>
    <w:autoRedefine/>
    <w:uiPriority w:val="39"/>
    <w:semiHidden/>
    <w:unhideWhenUsed/>
    <w:rsid w:val="00032B33"/>
    <w:pPr>
      <w:spacing w:after="100"/>
      <w:ind w:left="1680"/>
    </w:pPr>
  </w:style>
  <w:style w:type="table" w:customStyle="1" w:styleId="TableGridLight1">
    <w:name w:val="Table Grid Light1"/>
    <w:basedOn w:val="TableNormal"/>
    <w:next w:val="TableGridLight"/>
    <w:uiPriority w:val="40"/>
    <w:rsid w:val="00032B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32B33"/>
    <w:pPr>
      <w:widowControl w:val="0"/>
      <w:autoSpaceDE w:val="0"/>
      <w:autoSpaceDN w:val="0"/>
      <w:spacing w:before="0" w:after="0"/>
      <w:jc w:val="center"/>
    </w:pPr>
    <w:rPr>
      <w:rFonts w:ascii="Arial" w:eastAsia="Arial" w:hAnsi="Arial" w:cs="Arial"/>
      <w:sz w:val="22"/>
    </w:rPr>
  </w:style>
  <w:style w:type="paragraph" w:customStyle="1" w:styleId="Cover-Title-Name">
    <w:name w:val="Cover-Title-Name"/>
    <w:basedOn w:val="Normal"/>
    <w:rsid w:val="00032B33"/>
    <w:pPr>
      <w:jc w:val="center"/>
    </w:pPr>
    <w:rPr>
      <w:rFonts w:ascii="Footlight MT Light" w:eastAsia="Times New Roman" w:hAnsi="Footlight MT Light" w:cs="Times New Roman"/>
      <w:b/>
      <w:smallCaps/>
      <w:shadow/>
      <w:sz w:val="72"/>
      <w:szCs w:val="20"/>
    </w:rPr>
  </w:style>
  <w:style w:type="paragraph" w:customStyle="1" w:styleId="TableL-TNR09-B">
    <w:name w:val="Table_L-TNR09-B"/>
    <w:basedOn w:val="Normal"/>
    <w:link w:val="TableL-TNR09-BChar"/>
    <w:rsid w:val="00032B33"/>
    <w:pPr>
      <w:spacing w:before="40" w:after="20"/>
    </w:pPr>
    <w:rPr>
      <w:rFonts w:eastAsia="Times New Roman" w:cs="Times New Roman"/>
      <w:b/>
      <w:sz w:val="18"/>
      <w:szCs w:val="18"/>
    </w:rPr>
  </w:style>
  <w:style w:type="character" w:customStyle="1" w:styleId="TableL-TNR09-BChar">
    <w:name w:val="Table_L-TNR09-B Char"/>
    <w:link w:val="TableL-TNR09-B"/>
    <w:rsid w:val="00032B33"/>
    <w:rPr>
      <w:rFonts w:ascii="Times New Roman" w:eastAsia="Times New Roman" w:hAnsi="Times New Roman" w:cs="Times New Roman"/>
      <w:b/>
      <w:sz w:val="18"/>
      <w:szCs w:val="18"/>
    </w:rPr>
  </w:style>
  <w:style w:type="paragraph" w:customStyle="1" w:styleId="TableBullet1-L-TNR11">
    <w:name w:val="Table_Bullet1-L-TNR11"/>
    <w:basedOn w:val="Normal"/>
    <w:rsid w:val="00032B33"/>
    <w:pPr>
      <w:numPr>
        <w:numId w:val="15"/>
      </w:numPr>
      <w:spacing w:before="40" w:after="40"/>
      <w:ind w:left="360" w:hanging="360"/>
    </w:pPr>
    <w:rPr>
      <w:rFonts w:eastAsia="Times New Roman" w:cs="Times New Roman"/>
      <w:sz w:val="22"/>
      <w:szCs w:val="24"/>
    </w:rPr>
  </w:style>
  <w:style w:type="paragraph" w:customStyle="1" w:styleId="ListNoNum2">
    <w:name w:val="ListNoNum2"/>
    <w:basedOn w:val="HSAGNumbers"/>
    <w:qFormat/>
    <w:rsid w:val="00790C8C"/>
    <w:pPr>
      <w:numPr>
        <w:numId w:val="0"/>
      </w:numPr>
      <w:ind w:left="720" w:hanging="360"/>
    </w:pPr>
  </w:style>
  <w:style w:type="paragraph" w:customStyle="1" w:styleId="ListNoNum3">
    <w:name w:val="ListNoNum3"/>
    <w:basedOn w:val="ListParagraph"/>
    <w:qFormat/>
    <w:rsid w:val="00790C8C"/>
    <w:pPr>
      <w:spacing w:before="60" w:after="60"/>
      <w:ind w:left="1080" w:hanging="360"/>
      <w:contextualSpacing w:val="0"/>
    </w:pPr>
    <w:rPr>
      <w:rFonts w:eastAsiaTheme="minorHAnsi"/>
      <w:color w:val="000000" w:themeColor="text1"/>
      <w:sz w:val="22"/>
      <w:szCs w:val="22"/>
    </w:rPr>
  </w:style>
  <w:style w:type="paragraph" w:styleId="BodyText3">
    <w:name w:val="Body Text 3"/>
    <w:basedOn w:val="Normal"/>
    <w:link w:val="BodyText3Char"/>
    <w:semiHidden/>
    <w:unhideWhenUsed/>
    <w:rsid w:val="00790C8C"/>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790C8C"/>
    <w:rPr>
      <w:rFonts w:ascii="Times New Roman" w:eastAsia="Times New Roman" w:hAnsi="Times New Roman" w:cs="Times New Roman"/>
      <w:sz w:val="16"/>
      <w:szCs w:val="16"/>
    </w:rPr>
  </w:style>
  <w:style w:type="character" w:customStyle="1" w:styleId="ptext-25">
    <w:name w:val="ptext-25"/>
    <w:basedOn w:val="DefaultParagraphFont"/>
    <w:rsid w:val="00790C8C"/>
  </w:style>
  <w:style w:type="character" w:customStyle="1" w:styleId="UnresolvedMention1">
    <w:name w:val="Unresolved Mention1"/>
    <w:basedOn w:val="DefaultParagraphFont"/>
    <w:uiPriority w:val="99"/>
    <w:semiHidden/>
    <w:unhideWhenUsed/>
    <w:rsid w:val="00790C8C"/>
    <w:rPr>
      <w:color w:val="808080"/>
      <w:shd w:val="clear" w:color="auto" w:fill="E6E6E6"/>
    </w:rPr>
  </w:style>
  <w:style w:type="character" w:customStyle="1" w:styleId="ListParagraphChar">
    <w:name w:val="List Paragraph Char"/>
    <w:basedOn w:val="DefaultParagraphFont"/>
    <w:link w:val="ListParagraph"/>
    <w:uiPriority w:val="34"/>
    <w:locked/>
    <w:rsid w:val="00D3552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728E8"/>
    <w:pPr>
      <w:spacing w:after="0"/>
    </w:pPr>
    <w:rPr>
      <w:sz w:val="20"/>
      <w:szCs w:val="20"/>
    </w:rPr>
  </w:style>
  <w:style w:type="character" w:customStyle="1" w:styleId="EndnoteTextChar">
    <w:name w:val="Endnote Text Char"/>
    <w:basedOn w:val="DefaultParagraphFont"/>
    <w:link w:val="EndnoteText"/>
    <w:uiPriority w:val="99"/>
    <w:semiHidden/>
    <w:rsid w:val="008728E8"/>
    <w:rPr>
      <w:rFonts w:ascii="Times New Roman" w:hAnsi="Times New Roman"/>
      <w:sz w:val="20"/>
      <w:szCs w:val="20"/>
    </w:rPr>
  </w:style>
  <w:style w:type="character" w:styleId="EndnoteReference">
    <w:name w:val="endnote reference"/>
    <w:basedOn w:val="DefaultParagraphFont"/>
    <w:uiPriority w:val="99"/>
    <w:unhideWhenUsed/>
    <w:rsid w:val="008728E8"/>
    <w:rPr>
      <w:vertAlign w:val="superscript"/>
    </w:rPr>
  </w:style>
  <w:style w:type="table" w:customStyle="1" w:styleId="TableGrid2">
    <w:name w:val="Table Grid2"/>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3">
    <w:name w:val="Table Grid3"/>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11">
    <w:name w:val="Table Grid1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4">
    <w:name w:val="Table Grid4"/>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table" w:customStyle="1" w:styleId="TableGridLight2">
    <w:name w:val="Table Grid Light2"/>
    <w:basedOn w:val="TableNormal"/>
    <w:next w:val="TableGridLight"/>
    <w:uiPriority w:val="40"/>
    <w:rsid w:val="008728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2">
    <w:name w:val="Table Grid12"/>
    <w:basedOn w:val="TableNormal"/>
    <w:next w:val="TableGrid"/>
    <w:uiPriority w:val="59"/>
    <w:rsid w:val="008728E8"/>
    <w:pPr>
      <w:spacing w:after="0" w:line="240" w:lineRule="auto"/>
    </w:pPr>
    <w:rPr>
      <w:rFonts w:eastAsia="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21">
    <w:name w:val="Table Grid2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31">
    <w:name w:val="Table Grid3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111">
    <w:name w:val="Table Grid111"/>
    <w:basedOn w:val="TableNormal"/>
    <w:next w:val="TableGrid"/>
    <w:uiPriority w:val="59"/>
    <w:rsid w:val="008728E8"/>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table" w:customStyle="1" w:styleId="TableGridLight11">
    <w:name w:val="Table Grid Light11"/>
    <w:basedOn w:val="TableNormal"/>
    <w:uiPriority w:val="40"/>
    <w:rsid w:val="008728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al">
    <w:name w:val="[Ital]"/>
    <w:rsid w:val="008728E8"/>
    <w:rPr>
      <w:i/>
      <w:iCs/>
    </w:rPr>
  </w:style>
  <w:style w:type="paragraph" w:customStyle="1" w:styleId="PageBreak">
    <w:name w:val="PageBreak"/>
    <w:basedOn w:val="BodyTextIndent"/>
    <w:rsid w:val="008728E8"/>
    <w:pPr>
      <w:spacing w:before="0" w:after="0"/>
      <w:ind w:left="0"/>
    </w:pPr>
    <w:rPr>
      <w:rFonts w:eastAsia="Times New Roman" w:cs="Times New Roman"/>
      <w:sz w:val="16"/>
      <w:szCs w:val="20"/>
    </w:rPr>
  </w:style>
  <w:style w:type="paragraph" w:customStyle="1" w:styleId="TableNumber1-L-TNR11">
    <w:name w:val="Table_Number1-L-TNR11"/>
    <w:basedOn w:val="Normal"/>
    <w:rsid w:val="008728E8"/>
    <w:pPr>
      <w:numPr>
        <w:numId w:val="18"/>
      </w:numPr>
      <w:tabs>
        <w:tab w:val="clear" w:pos="720"/>
        <w:tab w:val="num" w:pos="360"/>
      </w:tabs>
      <w:spacing w:before="40" w:after="40"/>
      <w:ind w:left="0" w:firstLine="0"/>
    </w:pPr>
    <w:rPr>
      <w:rFonts w:eastAsia="Times New Roman" w:cs="Times New Roman"/>
      <w:sz w:val="22"/>
      <w:szCs w:val="24"/>
    </w:rPr>
  </w:style>
  <w:style w:type="paragraph" w:customStyle="1" w:styleId="for">
    <w:name w:val="for"/>
    <w:basedOn w:val="Normal"/>
    <w:rsid w:val="008728E8"/>
    <w:pPr>
      <w:spacing w:before="0" w:after="0"/>
      <w:jc w:val="center"/>
    </w:pPr>
    <w:rPr>
      <w:rFonts w:ascii="Monotype Corsiva" w:eastAsia="Times New Roman" w:hAnsi="Monotype Corsiva" w:cs="Times New Roman"/>
      <w:i/>
      <w:color w:val="003366"/>
      <w:sz w:val="52"/>
      <w:szCs w:val="20"/>
    </w:rPr>
  </w:style>
  <w:style w:type="numbering" w:customStyle="1" w:styleId="StyleNumbered1">
    <w:name w:val="Style Numbered1"/>
    <w:basedOn w:val="NoList"/>
    <w:rsid w:val="008728E8"/>
    <w:pPr>
      <w:numPr>
        <w:numId w:val="19"/>
      </w:numPr>
    </w:pPr>
  </w:style>
  <w:style w:type="table" w:customStyle="1" w:styleId="TableGridLight111">
    <w:name w:val="Table Grid Light111"/>
    <w:basedOn w:val="TableNormal"/>
    <w:uiPriority w:val="40"/>
    <w:rsid w:val="008728E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evel1">
    <w:name w:val="Level 1"/>
    <w:rsid w:val="008728E8"/>
    <w:pPr>
      <w:autoSpaceDE w:val="0"/>
      <w:autoSpaceDN w:val="0"/>
      <w:adjustRightInd w:val="0"/>
      <w:spacing w:after="0" w:line="240" w:lineRule="auto"/>
      <w:ind w:left="720"/>
    </w:pPr>
    <w:rPr>
      <w:rFonts w:ascii="Arial" w:eastAsia="Times New Roman" w:hAnsi="Arial" w:cs="Arial"/>
      <w:sz w:val="24"/>
      <w:szCs w:val="24"/>
    </w:rPr>
  </w:style>
  <w:style w:type="paragraph" w:customStyle="1" w:styleId="TableHdg-C-Wh-85pt">
    <w:name w:val="TableHdg-C-Wh-8.5pt"/>
    <w:basedOn w:val="Normal"/>
    <w:rsid w:val="00AD1772"/>
    <w:pPr>
      <w:spacing w:before="20" w:after="20"/>
      <w:jc w:val="center"/>
    </w:pPr>
    <w:rPr>
      <w:rFonts w:ascii="Arial Bold" w:eastAsia="Times New Roman" w:hAnsi="Arial Bold" w:cs="Times New Roman"/>
      <w:b/>
      <w:color w:val="FFFFFF"/>
      <w:spacing w:val="-2"/>
      <w:sz w:val="17"/>
      <w:szCs w:val="20"/>
    </w:rPr>
  </w:style>
  <w:style w:type="character" w:customStyle="1" w:styleId="normaltextrun">
    <w:name w:val="normaltextrun"/>
    <w:basedOn w:val="DefaultParagraphFont"/>
    <w:rsid w:val="00753AE4"/>
  </w:style>
  <w:style w:type="character" w:customStyle="1" w:styleId="eop">
    <w:name w:val="eop"/>
    <w:basedOn w:val="DefaultParagraphFont"/>
    <w:rsid w:val="0075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860">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364206465">
      <w:bodyDiv w:val="1"/>
      <w:marLeft w:val="0"/>
      <w:marRight w:val="0"/>
      <w:marTop w:val="0"/>
      <w:marBottom w:val="0"/>
      <w:divBdr>
        <w:top w:val="none" w:sz="0" w:space="0" w:color="auto"/>
        <w:left w:val="none" w:sz="0" w:space="0" w:color="auto"/>
        <w:bottom w:val="none" w:sz="0" w:space="0" w:color="auto"/>
        <w:right w:val="none" w:sz="0" w:space="0" w:color="auto"/>
      </w:divBdr>
    </w:div>
    <w:div w:id="15047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re.org/provider-network/provider-directory" TargetMode="External"/><Relationship Id="rId13" Type="http://schemas.openxmlformats.org/officeDocument/2006/relationships/hyperlink" Target="https://www.northernlakescmh.org/services/how-to-access-services/provider-direc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vcmh.org/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mcmh.org/about/contract-provider-director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entrawellness.org/about/provider-panel.html" TargetMode="External"/><Relationship Id="rId4" Type="http://schemas.openxmlformats.org/officeDocument/2006/relationships/settings" Target="settings.xml"/><Relationship Id="rId9" Type="http://schemas.openxmlformats.org/officeDocument/2006/relationships/hyperlink" Target="https://www.nmre.org/provider-network/provider-directo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801B-1C39-49C1-AFC8-2EB5E040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27</Pages>
  <Words>9892</Words>
  <Characters>56391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SFY 2024 Compliance Review Corrective Action Plan</vt:lpstr>
    </vt:vector>
  </TitlesOfParts>
  <Manager/>
  <Company>Michigan</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2024 Compliance Review Corrective Action Plan</dc:title>
  <dc:subject>Corrective Action Plan</dc:subject>
  <dc:creator>Alicja Wierzchowska</dc:creator>
  <cp:keywords>Northern Michigan Regional Entity</cp:keywords>
  <dc:description>Region 2</dc:description>
  <cp:lastModifiedBy>Chris VanWagoner (NMRE)</cp:lastModifiedBy>
  <cp:revision>62</cp:revision>
  <cp:lastPrinted>2018-05-01T21:14:00Z</cp:lastPrinted>
  <dcterms:created xsi:type="dcterms:W3CDTF">2021-10-20T12:09:00Z</dcterms:created>
  <dcterms:modified xsi:type="dcterms:W3CDTF">2025-02-07T21:21:00Z</dcterms:modified>
  <cp:category>R2-NMRE_MI2024_PIHP_CR_CAP_F1_1224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 </vt:lpwstr>
  </property>
  <property fmtid="{D5CDD505-2E9C-101B-9397-08002B2CF9AE}" pid="4" name="DCfR(backup)">
    <vt:lpwstr>—Draft Copy for Review—</vt:lpwstr>
  </property>
</Properties>
</file>