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475"/>
        <w:gridCol w:w="6475"/>
      </w:tblGrid>
      <w:tr w:rsidR="00962546" w14:paraId="27A6B080" w14:textId="77777777" w:rsidTr="0031040B">
        <w:tc>
          <w:tcPr>
            <w:tcW w:w="6475" w:type="dxa"/>
          </w:tcPr>
          <w:p w14:paraId="1F78E570" w14:textId="45FB1426" w:rsidR="00962546" w:rsidRPr="00962546" w:rsidRDefault="00962546" w:rsidP="00962546">
            <w:pPr>
              <w:jc w:val="center"/>
              <w:rPr>
                <w:b/>
                <w:bCs/>
                <w:sz w:val="28"/>
                <w:szCs w:val="28"/>
              </w:rPr>
            </w:pPr>
            <w:r w:rsidRPr="00962546">
              <w:rPr>
                <w:b/>
                <w:bCs/>
                <w:sz w:val="28"/>
                <w:szCs w:val="28"/>
              </w:rPr>
              <w:t>CONTENT TYPE</w:t>
            </w:r>
          </w:p>
        </w:tc>
        <w:tc>
          <w:tcPr>
            <w:tcW w:w="6475" w:type="dxa"/>
          </w:tcPr>
          <w:p w14:paraId="7C06B04F" w14:textId="3FE7053D" w:rsidR="00962546" w:rsidRPr="00962546" w:rsidRDefault="00962546" w:rsidP="00962546">
            <w:pPr>
              <w:jc w:val="center"/>
              <w:rPr>
                <w:b/>
                <w:bCs/>
                <w:sz w:val="28"/>
                <w:szCs w:val="28"/>
              </w:rPr>
            </w:pPr>
            <w:r w:rsidRPr="00962546">
              <w:rPr>
                <w:b/>
                <w:bCs/>
                <w:sz w:val="28"/>
                <w:szCs w:val="28"/>
              </w:rPr>
              <w:t>WHEN TYPICALLY USED</w:t>
            </w:r>
          </w:p>
        </w:tc>
      </w:tr>
      <w:tr w:rsidR="00962546" w14:paraId="2EE82454" w14:textId="77777777" w:rsidTr="0031040B">
        <w:tc>
          <w:tcPr>
            <w:tcW w:w="6475" w:type="dxa"/>
          </w:tcPr>
          <w:p w14:paraId="3754506E" w14:textId="21116F86" w:rsidR="00962546" w:rsidRDefault="00962546">
            <w:r>
              <w:t>Memorandum of Understanding (MOU)</w:t>
            </w:r>
          </w:p>
        </w:tc>
        <w:tc>
          <w:tcPr>
            <w:tcW w:w="6475" w:type="dxa"/>
          </w:tcPr>
          <w:p w14:paraId="7AF83792" w14:textId="0E9963F0" w:rsidR="00962546" w:rsidRDefault="00962546" w:rsidP="00962546">
            <w:pPr>
              <w:pStyle w:val="ListParagraph"/>
              <w:numPr>
                <w:ilvl w:val="0"/>
                <w:numId w:val="1"/>
              </w:numPr>
            </w:pPr>
            <w:r>
              <w:t>Other County Governmental Units such as sheriff, courts, health departments</w:t>
            </w:r>
            <w:r w:rsidR="004147E3">
              <w:t>, county administration, etc..</w:t>
            </w:r>
            <w:r>
              <w:t>.  May or may not involve $$ (No limit on amount)</w:t>
            </w:r>
          </w:p>
          <w:p w14:paraId="389E607B" w14:textId="45C2C6BB" w:rsidR="00962546" w:rsidRDefault="00962546" w:rsidP="00962546">
            <w:pPr>
              <w:pStyle w:val="ListParagraph"/>
              <w:numPr>
                <w:ilvl w:val="0"/>
                <w:numId w:val="1"/>
              </w:numPr>
            </w:pPr>
            <w:r>
              <w:t>Other Governmental Units</w:t>
            </w:r>
            <w:r w:rsidR="004147E3">
              <w:t xml:space="preserve"> (other CMH’s, Health Departments, etc..)</w:t>
            </w:r>
            <w:r>
              <w:t xml:space="preserve"> where no $ is involved and is </w:t>
            </w:r>
            <w:r w:rsidR="00C91313">
              <w:t xml:space="preserve">typically </w:t>
            </w:r>
            <w:r>
              <w:t>used to define functions/tasks.  To solidify/codify verbal agreements</w:t>
            </w:r>
          </w:p>
        </w:tc>
      </w:tr>
      <w:tr w:rsidR="0031040B" w14:paraId="430E925A" w14:textId="77777777" w:rsidTr="0031040B">
        <w:tc>
          <w:tcPr>
            <w:tcW w:w="6475" w:type="dxa"/>
          </w:tcPr>
          <w:p w14:paraId="53EA399F" w14:textId="76BEE198" w:rsidR="0031040B" w:rsidRDefault="0031040B">
            <w:r>
              <w:t>Business Associates Agreement</w:t>
            </w:r>
          </w:p>
        </w:tc>
        <w:tc>
          <w:tcPr>
            <w:tcW w:w="6475" w:type="dxa"/>
          </w:tcPr>
          <w:p w14:paraId="5BB17CD3" w14:textId="13E171C4" w:rsidR="0031040B" w:rsidRDefault="0031040B" w:rsidP="00A07B3F">
            <w:pPr>
              <w:pStyle w:val="ListParagraph"/>
            </w:pPr>
            <w:r>
              <w:t>An agreement with other entities (typically Health care or Health Care Vendors) that requires the exchange of Private Health Information. No $ is exchanged.</w:t>
            </w:r>
          </w:p>
        </w:tc>
      </w:tr>
      <w:tr w:rsidR="0031040B" w14:paraId="15D4D8D5" w14:textId="77777777" w:rsidTr="0031040B">
        <w:tc>
          <w:tcPr>
            <w:tcW w:w="6475" w:type="dxa"/>
          </w:tcPr>
          <w:p w14:paraId="14541F5C" w14:textId="16C602A4" w:rsidR="0031040B" w:rsidRDefault="0031040B">
            <w:r>
              <w:t>Purchase Orders</w:t>
            </w:r>
          </w:p>
        </w:tc>
        <w:tc>
          <w:tcPr>
            <w:tcW w:w="6475" w:type="dxa"/>
          </w:tcPr>
          <w:p w14:paraId="0F600466" w14:textId="77777777" w:rsidR="0031040B" w:rsidRDefault="0031040B" w:rsidP="00962546">
            <w:pPr>
              <w:pStyle w:val="ListParagraph"/>
              <w:numPr>
                <w:ilvl w:val="0"/>
                <w:numId w:val="4"/>
              </w:numPr>
            </w:pPr>
            <w:r>
              <w:t>1x Pay-as-you-go.  Usually for equipment, or administrative service.  Usually, the item to be purchased is prior approved via an admin. process or Governing Board review.  $ Amounts vary widely typically under $5,000</w:t>
            </w:r>
          </w:p>
          <w:p w14:paraId="3F42A74B" w14:textId="77777777" w:rsidR="0031040B" w:rsidRDefault="0031040B" w:rsidP="00721142">
            <w:pPr>
              <w:pStyle w:val="ListParagraph"/>
              <w:numPr>
                <w:ilvl w:val="0"/>
                <w:numId w:val="4"/>
              </w:numPr>
            </w:pPr>
            <w:r>
              <w:t>Risk exposure is weighed.</w:t>
            </w:r>
          </w:p>
          <w:p w14:paraId="7A43CB22" w14:textId="07719BE3" w:rsidR="00721142" w:rsidRDefault="00721142" w:rsidP="00721142">
            <w:pPr>
              <w:pStyle w:val="ListParagraph"/>
              <w:numPr>
                <w:ilvl w:val="0"/>
                <w:numId w:val="4"/>
              </w:numPr>
            </w:pPr>
            <w:r>
              <w:t>Recommend Business Associates Agreement and Confidentiality Statements are established if applicable</w:t>
            </w:r>
          </w:p>
        </w:tc>
      </w:tr>
      <w:tr w:rsidR="0031040B" w14:paraId="4180D207" w14:textId="77777777" w:rsidTr="0031040B">
        <w:tc>
          <w:tcPr>
            <w:tcW w:w="6475" w:type="dxa"/>
          </w:tcPr>
          <w:p w14:paraId="0937ACE0" w14:textId="5E2E68D6" w:rsidR="0031040B" w:rsidRDefault="0031040B" w:rsidP="00A07B3F">
            <w:r>
              <w:t>Letter of Agreement</w:t>
            </w:r>
            <w:r w:rsidR="00583B8D">
              <w:t xml:space="preserve"> with HIPAA and Letter of Agreement Goods and Services (Without HIPAA)</w:t>
            </w:r>
          </w:p>
          <w:p w14:paraId="1D8F4EA6" w14:textId="76A8CC8F" w:rsidR="0031040B" w:rsidRDefault="0031040B">
            <w:r>
              <w:t xml:space="preserve">Administrative Services </w:t>
            </w:r>
            <w:r w:rsidR="004940B5">
              <w:t>(i.e</w:t>
            </w:r>
            <w:r>
              <w:t xml:space="preserve">. Fix a door) </w:t>
            </w:r>
          </w:p>
        </w:tc>
        <w:tc>
          <w:tcPr>
            <w:tcW w:w="6475" w:type="dxa"/>
          </w:tcPr>
          <w:p w14:paraId="1653C5F7" w14:textId="77777777" w:rsidR="0031040B" w:rsidRDefault="0031040B" w:rsidP="00A07B3F">
            <w:pPr>
              <w:pStyle w:val="ListParagraph"/>
              <w:numPr>
                <w:ilvl w:val="0"/>
                <w:numId w:val="2"/>
              </w:numPr>
            </w:pPr>
            <w:r>
              <w:t>Other Governmental Units, outside our County, and Private Vendors when risk and dollar amount is small (typically under $5,000) and the service is time-limited, administrative or a very limited low risk clinical service.</w:t>
            </w:r>
          </w:p>
          <w:p w14:paraId="26DE43B6" w14:textId="622110E5" w:rsidR="0031040B" w:rsidRDefault="0031040B" w:rsidP="00A07B3F">
            <w:pPr>
              <w:pStyle w:val="ListParagraph"/>
              <w:numPr>
                <w:ilvl w:val="0"/>
                <w:numId w:val="2"/>
              </w:numPr>
            </w:pPr>
            <w:r>
              <w:t>With Non-Government less than $25,000 primarily due to Disclosure of ownership rules.</w:t>
            </w:r>
          </w:p>
          <w:p w14:paraId="2992029A" w14:textId="2E00BBF6" w:rsidR="00721142" w:rsidRDefault="00721142" w:rsidP="00A07B3F">
            <w:pPr>
              <w:pStyle w:val="ListParagraph"/>
              <w:numPr>
                <w:ilvl w:val="0"/>
                <w:numId w:val="2"/>
              </w:numPr>
            </w:pPr>
            <w:r>
              <w:t xml:space="preserve">Recommend Business Associates Agreement and Confidentiality Statements are established if </w:t>
            </w:r>
            <w:r w:rsidR="00583B8D">
              <w:t>applicable or use Letter of Agreement with HIPAA contract template.</w:t>
            </w:r>
          </w:p>
          <w:p w14:paraId="1DC8F58D" w14:textId="03FCDA6A" w:rsidR="0031040B" w:rsidRDefault="0031040B" w:rsidP="004940B5">
            <w:pPr>
              <w:pStyle w:val="ListParagraph"/>
              <w:ind w:left="705"/>
            </w:pPr>
          </w:p>
        </w:tc>
      </w:tr>
      <w:tr w:rsidR="0031040B" w14:paraId="67CE0CAD" w14:textId="77777777" w:rsidTr="0031040B">
        <w:trPr>
          <w:trHeight w:val="1970"/>
        </w:trPr>
        <w:tc>
          <w:tcPr>
            <w:tcW w:w="6475" w:type="dxa"/>
          </w:tcPr>
          <w:p w14:paraId="61478C28" w14:textId="05B48E0D" w:rsidR="0031040B" w:rsidRDefault="0031040B">
            <w:r>
              <w:lastRenderedPageBreak/>
              <w:t>Administrative Services</w:t>
            </w:r>
          </w:p>
        </w:tc>
        <w:tc>
          <w:tcPr>
            <w:tcW w:w="6475" w:type="dxa"/>
          </w:tcPr>
          <w:p w14:paraId="7ABA4077" w14:textId="77777777" w:rsidR="0031040B" w:rsidRDefault="0031040B" w:rsidP="00A07B3F">
            <w:pPr>
              <w:pStyle w:val="ListParagraph"/>
              <w:numPr>
                <w:ilvl w:val="0"/>
                <w:numId w:val="6"/>
              </w:numPr>
            </w:pPr>
            <w:r>
              <w:t xml:space="preserve">All ongoing typical CMH Administrative Services (Personnel – clerical, admin assistants, </w:t>
            </w:r>
            <w:proofErr w:type="gramStart"/>
            <w:r>
              <w:t>etc..</w:t>
            </w:r>
            <w:proofErr w:type="gramEnd"/>
            <w:r>
              <w:t>)</w:t>
            </w:r>
          </w:p>
          <w:p w14:paraId="56481AD4" w14:textId="77777777" w:rsidR="0031040B" w:rsidRDefault="0031040B" w:rsidP="00A07B3F">
            <w:pPr>
              <w:pStyle w:val="ListParagraph"/>
              <w:numPr>
                <w:ilvl w:val="0"/>
                <w:numId w:val="6"/>
              </w:numPr>
            </w:pPr>
            <w:r>
              <w:t>Infrastructure – building maintenance, lawn, snow etc.</w:t>
            </w:r>
          </w:p>
          <w:p w14:paraId="273A0BC3" w14:textId="77777777" w:rsidR="0031040B" w:rsidRDefault="0031040B" w:rsidP="00A07B3F">
            <w:pPr>
              <w:pStyle w:val="ListParagraph"/>
              <w:numPr>
                <w:ilvl w:val="0"/>
                <w:numId w:val="6"/>
              </w:numPr>
            </w:pPr>
            <w:r>
              <w:t>Involves 2CFR Part 200, Subpart E – Cost Principles, 200.436, 200.439, 42CFR 455.15 Disclosure of Ownership</w:t>
            </w:r>
          </w:p>
          <w:p w14:paraId="78E1FC05" w14:textId="77777777" w:rsidR="0031040B" w:rsidRDefault="0031040B" w:rsidP="00A07B3F">
            <w:pPr>
              <w:pStyle w:val="ListParagraph"/>
              <w:numPr>
                <w:ilvl w:val="0"/>
                <w:numId w:val="6"/>
              </w:numPr>
            </w:pPr>
            <w:r>
              <w:t>Other State and Federal Regulations: solvency relationships to party etc.</w:t>
            </w:r>
          </w:p>
          <w:p w14:paraId="10D8CA1A" w14:textId="108E5743" w:rsidR="0031040B" w:rsidRDefault="0031040B" w:rsidP="0031040B">
            <w:pPr>
              <w:pStyle w:val="ListParagraph"/>
            </w:pPr>
            <w:r>
              <w:t>Services that represent a higher risk ($$) to the CMH</w:t>
            </w:r>
          </w:p>
        </w:tc>
      </w:tr>
      <w:tr w:rsidR="0031040B" w14:paraId="5A86C6B1" w14:textId="77777777" w:rsidTr="0031040B">
        <w:trPr>
          <w:trHeight w:val="1073"/>
        </w:trPr>
        <w:tc>
          <w:tcPr>
            <w:tcW w:w="6475" w:type="dxa"/>
          </w:tcPr>
          <w:p w14:paraId="52513196" w14:textId="51ADD945" w:rsidR="0031040B" w:rsidRDefault="0031040B" w:rsidP="00A07B3F">
            <w:r>
              <w:t>Self-Determination Agreement</w:t>
            </w:r>
          </w:p>
        </w:tc>
        <w:tc>
          <w:tcPr>
            <w:tcW w:w="6475" w:type="dxa"/>
          </w:tcPr>
          <w:p w14:paraId="0FE836B0" w14:textId="45C0E355" w:rsidR="0031040B" w:rsidRDefault="0031040B" w:rsidP="00A07B3F">
            <w:pPr>
              <w:pStyle w:val="ListParagraph"/>
            </w:pPr>
            <w:r>
              <w:t>An agreement regarding the delivery of services and authorizations of same between an individual in a Self-Determined arrangement and a CMH. (Who does what).</w:t>
            </w:r>
          </w:p>
        </w:tc>
      </w:tr>
      <w:tr w:rsidR="0031040B" w14:paraId="512E1018" w14:textId="77777777" w:rsidTr="0031040B">
        <w:trPr>
          <w:trHeight w:val="1073"/>
        </w:trPr>
        <w:tc>
          <w:tcPr>
            <w:tcW w:w="6475" w:type="dxa"/>
          </w:tcPr>
          <w:p w14:paraId="31755626" w14:textId="48A45ECF" w:rsidR="0031040B" w:rsidRDefault="0031040B" w:rsidP="0031040B">
            <w:r>
              <w:t>Fiscal Intermediary</w:t>
            </w:r>
          </w:p>
        </w:tc>
        <w:tc>
          <w:tcPr>
            <w:tcW w:w="6475" w:type="dxa"/>
          </w:tcPr>
          <w:p w14:paraId="01E81E2C" w14:textId="77777777" w:rsidR="0031040B" w:rsidRDefault="0031040B" w:rsidP="0031040B">
            <w:pPr>
              <w:pStyle w:val="ListParagraph"/>
              <w:numPr>
                <w:ilvl w:val="0"/>
                <w:numId w:val="13"/>
              </w:numPr>
            </w:pPr>
            <w:r>
              <w:t>Used in conjunction with Self-Determination arrangements.</w:t>
            </w:r>
          </w:p>
          <w:p w14:paraId="40DA203A" w14:textId="77777777" w:rsidR="0031040B" w:rsidRDefault="0031040B" w:rsidP="0031040B">
            <w:pPr>
              <w:pStyle w:val="ListParagraph"/>
              <w:numPr>
                <w:ilvl w:val="0"/>
                <w:numId w:val="13"/>
              </w:numPr>
            </w:pPr>
            <w:r>
              <w:t>Essentially an administrative services contract</w:t>
            </w:r>
          </w:p>
          <w:p w14:paraId="7D76C9F1" w14:textId="1A4EDFF1" w:rsidR="0031040B" w:rsidRDefault="0031040B" w:rsidP="00204E2C">
            <w:pPr>
              <w:pStyle w:val="ListParagraph"/>
              <w:numPr>
                <w:ilvl w:val="0"/>
                <w:numId w:val="13"/>
              </w:numPr>
            </w:pPr>
            <w:r>
              <w:t>Assures compliance with IRS regulations etc.</w:t>
            </w:r>
          </w:p>
        </w:tc>
      </w:tr>
      <w:tr w:rsidR="0031040B" w14:paraId="62B74873" w14:textId="77777777" w:rsidTr="0031040B">
        <w:trPr>
          <w:trHeight w:val="1072"/>
        </w:trPr>
        <w:tc>
          <w:tcPr>
            <w:tcW w:w="6475" w:type="dxa"/>
          </w:tcPr>
          <w:p w14:paraId="71030D0F" w14:textId="2F757115" w:rsidR="0031040B" w:rsidRDefault="004940B5" w:rsidP="0031040B">
            <w:r>
              <w:t>Respite Camp/Day Camps</w:t>
            </w:r>
          </w:p>
        </w:tc>
        <w:tc>
          <w:tcPr>
            <w:tcW w:w="6475" w:type="dxa"/>
          </w:tcPr>
          <w:p w14:paraId="4C0DEC28" w14:textId="70690EA4" w:rsidR="004940B5" w:rsidRDefault="004940B5" w:rsidP="004940B5">
            <w:pPr>
              <w:pStyle w:val="ListParagraph"/>
              <w:numPr>
                <w:ilvl w:val="0"/>
                <w:numId w:val="16"/>
              </w:numPr>
            </w:pPr>
            <w:r>
              <w:t>Private or Non-Profit Camps when client numbers are usually very small (1 or 2</w:t>
            </w:r>
            <w:proofErr w:type="gramStart"/>
            <w:r>
              <w:t>)</w:t>
            </w:r>
            <w:proofErr w:type="gramEnd"/>
            <w:r>
              <w:t xml:space="preserve"> and the risk exposure and dollar amount is small (typically under $5,000) and the service is time-limited (a day or weekend</w:t>
            </w:r>
            <w:r w:rsidR="005404B8">
              <w:t>) and</w:t>
            </w:r>
            <w:r>
              <w:t xml:space="preserve"> is a very limited/low risk clinical service.</w:t>
            </w:r>
          </w:p>
          <w:p w14:paraId="1D18FD39" w14:textId="77777777" w:rsidR="0031040B" w:rsidRDefault="0031040B" w:rsidP="0031040B">
            <w:pPr>
              <w:pStyle w:val="ListParagraph"/>
            </w:pPr>
          </w:p>
        </w:tc>
      </w:tr>
      <w:tr w:rsidR="0031040B" w14:paraId="199833DC" w14:textId="77777777" w:rsidTr="0031040B">
        <w:trPr>
          <w:trHeight w:val="1072"/>
        </w:trPr>
        <w:tc>
          <w:tcPr>
            <w:tcW w:w="6475" w:type="dxa"/>
          </w:tcPr>
          <w:p w14:paraId="0AE70C35" w14:textId="50C2DA54" w:rsidR="0031040B" w:rsidRDefault="005404B8" w:rsidP="0031040B">
            <w:r>
              <w:t>Respite Only</w:t>
            </w:r>
          </w:p>
        </w:tc>
        <w:tc>
          <w:tcPr>
            <w:tcW w:w="6475" w:type="dxa"/>
          </w:tcPr>
          <w:p w14:paraId="24D58ADB" w14:textId="1E3CEF44" w:rsidR="0031040B" w:rsidRDefault="005404B8" w:rsidP="005404B8">
            <w:pPr>
              <w:pStyle w:val="ListParagraph"/>
              <w:numPr>
                <w:ilvl w:val="0"/>
                <w:numId w:val="17"/>
              </w:numPr>
            </w:pPr>
            <w:r>
              <w:t>Used with a Respite Provider</w:t>
            </w:r>
            <w:r w:rsidR="00341D57">
              <w:t xml:space="preserve"> (including camps)</w:t>
            </w:r>
            <w:r>
              <w:t xml:space="preserve"> providing on-going respites services</w:t>
            </w:r>
            <w:r w:rsidR="00D91F6A">
              <w:t xml:space="preserve"> multiple times</w:t>
            </w:r>
            <w:r>
              <w:t xml:space="preserve"> throughout the year to one </w:t>
            </w:r>
            <w:r w:rsidR="00341D57">
              <w:t>client;</w:t>
            </w:r>
            <w:r>
              <w:t xml:space="preserve"> and/or</w:t>
            </w:r>
          </w:p>
          <w:p w14:paraId="2FCB58F7" w14:textId="4B2A852B" w:rsidR="005404B8" w:rsidRDefault="005404B8" w:rsidP="005404B8">
            <w:pPr>
              <w:pStyle w:val="ListParagraph"/>
              <w:numPr>
                <w:ilvl w:val="0"/>
                <w:numId w:val="17"/>
              </w:numPr>
            </w:pPr>
            <w:r>
              <w:t>Used with a Respite Provider</w:t>
            </w:r>
            <w:r w:rsidR="00341D57">
              <w:t xml:space="preserve"> (including camps)</w:t>
            </w:r>
            <w:r>
              <w:t xml:space="preserve"> who provides respite services </w:t>
            </w:r>
            <w:r w:rsidR="00D91F6A">
              <w:t xml:space="preserve">only </w:t>
            </w:r>
            <w:r>
              <w:t>to multiple clients at multiple sites throughout the fiscal year; and/or</w:t>
            </w:r>
          </w:p>
          <w:p w14:paraId="5CCC02E7" w14:textId="1A66B0F3" w:rsidR="005404B8" w:rsidRDefault="00D91F6A" w:rsidP="005404B8">
            <w:pPr>
              <w:pStyle w:val="ListParagraph"/>
              <w:numPr>
                <w:ilvl w:val="0"/>
                <w:numId w:val="17"/>
              </w:numPr>
            </w:pPr>
            <w:r>
              <w:t xml:space="preserve">Used with a Respite Provider </w:t>
            </w:r>
            <w:r w:rsidR="00341D57">
              <w:t xml:space="preserve">(including camps) </w:t>
            </w:r>
            <w:r>
              <w:t>who provides respite services only to multiple clients over a short duration.</w:t>
            </w:r>
          </w:p>
        </w:tc>
      </w:tr>
      <w:tr w:rsidR="0031040B" w14:paraId="3A2FA0D1" w14:textId="77777777" w:rsidTr="0031040B">
        <w:trPr>
          <w:trHeight w:val="1072"/>
        </w:trPr>
        <w:tc>
          <w:tcPr>
            <w:tcW w:w="6475" w:type="dxa"/>
          </w:tcPr>
          <w:p w14:paraId="0D12E17E" w14:textId="5C3C876C" w:rsidR="0031040B" w:rsidRDefault="007E6993" w:rsidP="0031040B">
            <w:r>
              <w:lastRenderedPageBreak/>
              <w:t xml:space="preserve">CLS/Respite </w:t>
            </w:r>
          </w:p>
        </w:tc>
        <w:tc>
          <w:tcPr>
            <w:tcW w:w="6475" w:type="dxa"/>
          </w:tcPr>
          <w:p w14:paraId="66C7840D" w14:textId="311F85A2" w:rsidR="0031040B" w:rsidRDefault="000E5001" w:rsidP="000E5001">
            <w:pPr>
              <w:pStyle w:val="ListParagraph"/>
              <w:numPr>
                <w:ilvl w:val="0"/>
                <w:numId w:val="18"/>
              </w:numPr>
            </w:pPr>
            <w:r>
              <w:t>Used when a Provider is authorized to move between Community Living Services (CLS) and Respite service throughout the course of a fiscal year with one client; and/or</w:t>
            </w:r>
          </w:p>
          <w:p w14:paraId="3FA6E7C3" w14:textId="74139297" w:rsidR="000E5001" w:rsidRDefault="00697393" w:rsidP="000E5001">
            <w:pPr>
              <w:pStyle w:val="ListParagraph"/>
              <w:numPr>
                <w:ilvl w:val="0"/>
                <w:numId w:val="18"/>
              </w:numPr>
            </w:pPr>
            <w:r>
              <w:t xml:space="preserve">Used with a Provider who provides CLS/Respite services to multiple clients at multiple </w:t>
            </w:r>
            <w:proofErr w:type="gramStart"/>
            <w:r>
              <w:t>site</w:t>
            </w:r>
            <w:proofErr w:type="gramEnd"/>
            <w:r>
              <w:t xml:space="preserve"> throughout the fiscal year; and/or </w:t>
            </w:r>
          </w:p>
          <w:p w14:paraId="37187496" w14:textId="77777777" w:rsidR="00697393" w:rsidRDefault="00697393" w:rsidP="000E5001">
            <w:pPr>
              <w:pStyle w:val="ListParagraph"/>
              <w:numPr>
                <w:ilvl w:val="0"/>
                <w:numId w:val="18"/>
              </w:numPr>
            </w:pPr>
            <w:r>
              <w:t>Used with a Provider who provides CLS/Respite services to multiple clients over a short duration; and/or</w:t>
            </w:r>
          </w:p>
          <w:p w14:paraId="28615CBE" w14:textId="5AA80BCE" w:rsidR="00697393" w:rsidRDefault="00697393" w:rsidP="000E5001">
            <w:pPr>
              <w:pStyle w:val="ListParagraph"/>
              <w:numPr>
                <w:ilvl w:val="0"/>
                <w:numId w:val="18"/>
              </w:numPr>
            </w:pPr>
            <w:r>
              <w:t xml:space="preserve">Provides any or </w:t>
            </w:r>
            <w:proofErr w:type="gramStart"/>
            <w:r>
              <w:t>all of</w:t>
            </w:r>
            <w:proofErr w:type="gramEnd"/>
            <w:r>
              <w:t xml:space="preserve"> the above and only CLS services</w:t>
            </w:r>
          </w:p>
        </w:tc>
      </w:tr>
      <w:tr w:rsidR="00697393" w14:paraId="4CA724C5" w14:textId="77777777" w:rsidTr="0031040B">
        <w:trPr>
          <w:trHeight w:val="1072"/>
        </w:trPr>
        <w:tc>
          <w:tcPr>
            <w:tcW w:w="6475" w:type="dxa"/>
          </w:tcPr>
          <w:p w14:paraId="77FD9526" w14:textId="49A432BD" w:rsidR="00697393" w:rsidRDefault="00697393" w:rsidP="0031040B">
            <w:r>
              <w:t xml:space="preserve">Drop-in </w:t>
            </w:r>
          </w:p>
        </w:tc>
        <w:tc>
          <w:tcPr>
            <w:tcW w:w="6475" w:type="dxa"/>
          </w:tcPr>
          <w:p w14:paraId="564FC0E0" w14:textId="6B848E58" w:rsidR="00697393" w:rsidRDefault="00697393" w:rsidP="00CF3D85">
            <w:pPr>
              <w:pStyle w:val="ListParagraph"/>
              <w:numPr>
                <w:ilvl w:val="0"/>
                <w:numId w:val="21"/>
              </w:numPr>
              <w:ind w:left="1080"/>
            </w:pPr>
            <w:r>
              <w:t xml:space="preserve">Straightforward contract for Drop-in SMI </w:t>
            </w:r>
            <w:r w:rsidR="003E1C57">
              <w:t xml:space="preserve">or SMI/IDD/SUD co-occurring </w:t>
            </w:r>
            <w:r>
              <w:t>services</w:t>
            </w:r>
            <w:r w:rsidR="003E1C57">
              <w:t xml:space="preserve"> with a 501-c-3 client run center to focus on support and aftercare.</w:t>
            </w:r>
          </w:p>
        </w:tc>
      </w:tr>
      <w:tr w:rsidR="003E1C57" w14:paraId="3B18C241" w14:textId="77777777" w:rsidTr="0031040B">
        <w:trPr>
          <w:trHeight w:val="1072"/>
        </w:trPr>
        <w:tc>
          <w:tcPr>
            <w:tcW w:w="6475" w:type="dxa"/>
          </w:tcPr>
          <w:p w14:paraId="653EF305" w14:textId="6D8778A4" w:rsidR="003E1C57" w:rsidRDefault="00CF3D85" w:rsidP="0031040B">
            <w:r>
              <w:t>Children’s Therapeutic Foster Care &amp; Other Children’s Community Settings</w:t>
            </w:r>
          </w:p>
        </w:tc>
        <w:tc>
          <w:tcPr>
            <w:tcW w:w="6475" w:type="dxa"/>
          </w:tcPr>
          <w:p w14:paraId="68EF39EE" w14:textId="0C1DB3AE" w:rsidR="003E1C57" w:rsidRDefault="00CF3D85" w:rsidP="00CF3D85">
            <w:pPr>
              <w:pStyle w:val="ListParagraph"/>
              <w:numPr>
                <w:ilvl w:val="0"/>
                <w:numId w:val="20"/>
              </w:numPr>
              <w:ind w:left="1080"/>
            </w:pPr>
            <w:r>
              <w:t xml:space="preserve">Typically used for Individual foster care home placements </w:t>
            </w:r>
            <w:r w:rsidR="00CB28F0">
              <w:t>(</w:t>
            </w:r>
            <w:r>
              <w:t>single child</w:t>
            </w:r>
            <w:r w:rsidR="00CB28F0">
              <w:t>)</w:t>
            </w:r>
            <w:r>
              <w:t xml:space="preserve"> where programing and skill building occurs.</w:t>
            </w:r>
          </w:p>
          <w:p w14:paraId="3AFDF124" w14:textId="0DBB63C5" w:rsidR="00CF3D85" w:rsidRDefault="00CF3D85" w:rsidP="00CF3D85">
            <w:pPr>
              <w:pStyle w:val="ListParagraph"/>
            </w:pPr>
          </w:p>
        </w:tc>
      </w:tr>
      <w:tr w:rsidR="001A2606" w14:paraId="19793514" w14:textId="77777777" w:rsidTr="0031040B">
        <w:trPr>
          <w:trHeight w:val="1072"/>
        </w:trPr>
        <w:tc>
          <w:tcPr>
            <w:tcW w:w="6475" w:type="dxa"/>
          </w:tcPr>
          <w:p w14:paraId="4B39AD45" w14:textId="745412CD" w:rsidR="001A2606" w:rsidRDefault="001A2606" w:rsidP="0031040B">
            <w:r>
              <w:t>Crisis Residential</w:t>
            </w:r>
          </w:p>
        </w:tc>
        <w:tc>
          <w:tcPr>
            <w:tcW w:w="6475" w:type="dxa"/>
          </w:tcPr>
          <w:p w14:paraId="7EB8FAC4" w14:textId="372890B8" w:rsidR="001A2606" w:rsidRDefault="001A2606" w:rsidP="001A2606">
            <w:pPr>
              <w:ind w:left="1080" w:hanging="360"/>
            </w:pPr>
            <w:r>
              <w:t>A.) Used for Crisis Residential Facilities. Intended for diversions from inpatient hospitalization and the stay is anticipated to be “short-term”</w:t>
            </w:r>
          </w:p>
        </w:tc>
      </w:tr>
      <w:tr w:rsidR="0046153C" w14:paraId="63BCBC94" w14:textId="77777777" w:rsidTr="0031040B">
        <w:trPr>
          <w:trHeight w:val="1072"/>
        </w:trPr>
        <w:tc>
          <w:tcPr>
            <w:tcW w:w="6475" w:type="dxa"/>
          </w:tcPr>
          <w:p w14:paraId="250CCC0E" w14:textId="7A01E22F" w:rsidR="0046153C" w:rsidRDefault="0046153C" w:rsidP="0031040B">
            <w:r>
              <w:t>Professional Individual</w:t>
            </w:r>
          </w:p>
        </w:tc>
        <w:tc>
          <w:tcPr>
            <w:tcW w:w="6475" w:type="dxa"/>
          </w:tcPr>
          <w:p w14:paraId="1B5CE155" w14:textId="77777777" w:rsidR="0046153C" w:rsidRDefault="0046153C" w:rsidP="0046153C">
            <w:pPr>
              <w:pStyle w:val="ListParagraph"/>
              <w:numPr>
                <w:ilvl w:val="0"/>
                <w:numId w:val="28"/>
              </w:numPr>
            </w:pPr>
            <w:r>
              <w:t>Used with a single professional for services such as counseling, occupational therapy, etc.</w:t>
            </w:r>
          </w:p>
          <w:p w14:paraId="76FD052E" w14:textId="0C1564CD" w:rsidR="0046153C" w:rsidRDefault="0046153C" w:rsidP="0046153C">
            <w:pPr>
              <w:pStyle w:val="ListParagraph"/>
              <w:numPr>
                <w:ilvl w:val="0"/>
                <w:numId w:val="28"/>
              </w:numPr>
            </w:pPr>
            <w:r>
              <w:t xml:space="preserve">Typically, a sole proprietor. </w:t>
            </w:r>
          </w:p>
        </w:tc>
      </w:tr>
      <w:tr w:rsidR="0046153C" w14:paraId="5F56DF09" w14:textId="77777777" w:rsidTr="0031040B">
        <w:trPr>
          <w:trHeight w:val="1072"/>
        </w:trPr>
        <w:tc>
          <w:tcPr>
            <w:tcW w:w="6475" w:type="dxa"/>
          </w:tcPr>
          <w:p w14:paraId="137F7447" w14:textId="6D521DF2" w:rsidR="0046153C" w:rsidRDefault="0046153C" w:rsidP="0031040B">
            <w:r>
              <w:t>Professional Group or Clinic</w:t>
            </w:r>
          </w:p>
        </w:tc>
        <w:tc>
          <w:tcPr>
            <w:tcW w:w="6475" w:type="dxa"/>
          </w:tcPr>
          <w:p w14:paraId="21E1F017" w14:textId="77777777" w:rsidR="0046153C" w:rsidRDefault="0046153C" w:rsidP="0046153C">
            <w:pPr>
              <w:pStyle w:val="ListParagraph"/>
              <w:numPr>
                <w:ilvl w:val="0"/>
                <w:numId w:val="29"/>
              </w:numPr>
              <w:ind w:left="1080"/>
            </w:pPr>
            <w:r>
              <w:t>Used with group practices or clinics</w:t>
            </w:r>
          </w:p>
          <w:p w14:paraId="1B9C8995" w14:textId="467CE3EE" w:rsidR="0046153C" w:rsidRDefault="0046153C" w:rsidP="0046153C">
            <w:pPr>
              <w:pStyle w:val="ListParagraph"/>
              <w:numPr>
                <w:ilvl w:val="0"/>
                <w:numId w:val="29"/>
              </w:numPr>
              <w:ind w:left="1080"/>
            </w:pPr>
            <w:r>
              <w:t xml:space="preserve">Typically, Non-profits, Group </w:t>
            </w:r>
            <w:proofErr w:type="gramStart"/>
            <w:r>
              <w:t>LLC’s</w:t>
            </w:r>
            <w:proofErr w:type="gramEnd"/>
            <w:r>
              <w:t xml:space="preserve">, or for profit companies. </w:t>
            </w:r>
          </w:p>
        </w:tc>
      </w:tr>
      <w:tr w:rsidR="002E37EC" w14:paraId="17C3DFC9" w14:textId="77777777" w:rsidTr="0031040B">
        <w:trPr>
          <w:trHeight w:val="1072"/>
        </w:trPr>
        <w:tc>
          <w:tcPr>
            <w:tcW w:w="6475" w:type="dxa"/>
          </w:tcPr>
          <w:p w14:paraId="1E0C6F1E" w14:textId="75095D74" w:rsidR="002E37EC" w:rsidRDefault="002E37EC" w:rsidP="0031040B">
            <w:r>
              <w:t>Residential “Type A” Contract</w:t>
            </w:r>
          </w:p>
        </w:tc>
        <w:tc>
          <w:tcPr>
            <w:tcW w:w="6475" w:type="dxa"/>
          </w:tcPr>
          <w:p w14:paraId="6115E0DF" w14:textId="7C632BD3" w:rsidR="002E37EC" w:rsidRDefault="0046153C" w:rsidP="002E37EC">
            <w:pPr>
              <w:pStyle w:val="ListParagraph"/>
              <w:numPr>
                <w:ilvl w:val="0"/>
                <w:numId w:val="26"/>
              </w:numPr>
            </w:pPr>
            <w:r>
              <w:t>U</w:t>
            </w:r>
            <w:r w:rsidR="002E37EC">
              <w:t xml:space="preserve">sed generally when the Home is owned and licensed by an independent provider. They are licensed as specializing in either Mental Illness or IDD. </w:t>
            </w:r>
          </w:p>
          <w:p w14:paraId="5E0F9B40" w14:textId="4A7E9E94" w:rsidR="00117998" w:rsidRDefault="00117998" w:rsidP="002E37EC">
            <w:pPr>
              <w:pStyle w:val="ListParagraph"/>
              <w:numPr>
                <w:ilvl w:val="0"/>
                <w:numId w:val="26"/>
              </w:numPr>
            </w:pPr>
            <w:r>
              <w:lastRenderedPageBreak/>
              <w:t>The contract is for one of the beds in the facility and must address client needs over and above staffing levels and support provided for under typical licensing placements and staffing ratios as required by regulations and laws.</w:t>
            </w:r>
          </w:p>
        </w:tc>
      </w:tr>
      <w:tr w:rsidR="0046153C" w14:paraId="7068A15B" w14:textId="77777777" w:rsidTr="0031040B">
        <w:trPr>
          <w:trHeight w:val="1072"/>
        </w:trPr>
        <w:tc>
          <w:tcPr>
            <w:tcW w:w="6475" w:type="dxa"/>
          </w:tcPr>
          <w:p w14:paraId="3ABFA93E" w14:textId="5AC6B43E" w:rsidR="0046153C" w:rsidRDefault="0046153C" w:rsidP="0031040B">
            <w:r>
              <w:lastRenderedPageBreak/>
              <w:t>Residential “Type B” Contract</w:t>
            </w:r>
          </w:p>
        </w:tc>
        <w:tc>
          <w:tcPr>
            <w:tcW w:w="6475" w:type="dxa"/>
          </w:tcPr>
          <w:p w14:paraId="0210637F" w14:textId="77777777" w:rsidR="0046153C" w:rsidRDefault="0046153C" w:rsidP="0046153C">
            <w:pPr>
              <w:pStyle w:val="ListParagraph"/>
              <w:numPr>
                <w:ilvl w:val="0"/>
                <w:numId w:val="27"/>
              </w:numPr>
              <w:ind w:left="1080"/>
            </w:pPr>
            <w:r>
              <w:t>Used when the home is either leased or owned by the CMH.</w:t>
            </w:r>
          </w:p>
          <w:p w14:paraId="1BE4793A" w14:textId="5DC5CD74" w:rsidR="0046153C" w:rsidRDefault="0046153C" w:rsidP="0046153C">
            <w:pPr>
              <w:pStyle w:val="ListParagraph"/>
              <w:numPr>
                <w:ilvl w:val="0"/>
                <w:numId w:val="27"/>
              </w:numPr>
              <w:ind w:left="1080"/>
            </w:pPr>
            <w:r>
              <w:t>Licensed by the provider.</w:t>
            </w:r>
          </w:p>
          <w:p w14:paraId="0D887381" w14:textId="77777777" w:rsidR="0046153C" w:rsidRDefault="0046153C" w:rsidP="0046153C">
            <w:pPr>
              <w:pStyle w:val="ListParagraph"/>
              <w:numPr>
                <w:ilvl w:val="0"/>
                <w:numId w:val="27"/>
              </w:numPr>
              <w:ind w:left="1080"/>
            </w:pPr>
            <w:r>
              <w:t>Bed access is controlled by the CMH</w:t>
            </w:r>
          </w:p>
          <w:p w14:paraId="10A99F04" w14:textId="77777777" w:rsidR="00A71FA3" w:rsidRDefault="0046153C" w:rsidP="0046153C">
            <w:pPr>
              <w:pStyle w:val="ListParagraph"/>
              <w:numPr>
                <w:ilvl w:val="0"/>
                <w:numId w:val="27"/>
              </w:numPr>
              <w:ind w:left="1080"/>
            </w:pPr>
            <w:r>
              <w:t xml:space="preserve">Is essentially a staffing contract and budget </w:t>
            </w:r>
            <w:proofErr w:type="gramStart"/>
            <w:r>
              <w:t>is</w:t>
            </w:r>
            <w:proofErr w:type="gramEnd"/>
            <w:r>
              <w:t xml:space="preserve"> facility based as opposed to </w:t>
            </w:r>
            <w:r w:rsidR="00A71FA3">
              <w:t xml:space="preserve">client </w:t>
            </w:r>
            <w:r>
              <w:t>specific.</w:t>
            </w:r>
          </w:p>
          <w:p w14:paraId="65CC79C7" w14:textId="2CC6C2E1" w:rsidR="0046153C" w:rsidRDefault="00A71FA3" w:rsidP="0046153C">
            <w:pPr>
              <w:pStyle w:val="ListParagraph"/>
              <w:numPr>
                <w:ilvl w:val="0"/>
                <w:numId w:val="27"/>
              </w:numPr>
              <w:ind w:left="1080"/>
            </w:pPr>
            <w:r>
              <w:t>Net Cost contracting is often used for these arrangements i</w:t>
            </w:r>
            <w:r w:rsidR="00EB7F4A">
              <w:t>n</w:t>
            </w:r>
            <w:r>
              <w:t xml:space="preserve"> Exhibit</w:t>
            </w:r>
            <w:r w:rsidR="00EB7F4A">
              <w:t xml:space="preserve"> F.</w:t>
            </w:r>
            <w:r w:rsidR="0046153C">
              <w:t xml:space="preserve"> </w:t>
            </w:r>
          </w:p>
        </w:tc>
      </w:tr>
      <w:tr w:rsidR="00A71FA3" w14:paraId="2ED9F708" w14:textId="77777777" w:rsidTr="0031040B">
        <w:trPr>
          <w:trHeight w:val="1072"/>
        </w:trPr>
        <w:tc>
          <w:tcPr>
            <w:tcW w:w="6475" w:type="dxa"/>
          </w:tcPr>
          <w:p w14:paraId="4742FEC5" w14:textId="420BDB8E" w:rsidR="00A71FA3" w:rsidRDefault="00A71FA3" w:rsidP="0031040B">
            <w:r>
              <w:t>Supported Independent Residential Services</w:t>
            </w:r>
          </w:p>
        </w:tc>
        <w:tc>
          <w:tcPr>
            <w:tcW w:w="6475" w:type="dxa"/>
          </w:tcPr>
          <w:p w14:paraId="3BCFB161" w14:textId="41CA3683" w:rsidR="00A71FA3" w:rsidRDefault="00A71FA3" w:rsidP="00A71FA3">
            <w:pPr>
              <w:pStyle w:val="ListParagraph"/>
              <w:numPr>
                <w:ilvl w:val="0"/>
                <w:numId w:val="30"/>
              </w:numPr>
              <w:ind w:left="1080"/>
            </w:pPr>
            <w:r>
              <w:t>Used for unlicensed settings.</w:t>
            </w:r>
          </w:p>
          <w:p w14:paraId="29D4999A" w14:textId="77777777" w:rsidR="00A71FA3" w:rsidRDefault="00A71FA3" w:rsidP="00A71FA3">
            <w:pPr>
              <w:pStyle w:val="ListParagraph"/>
              <w:numPr>
                <w:ilvl w:val="0"/>
                <w:numId w:val="30"/>
              </w:numPr>
              <w:ind w:left="1080"/>
            </w:pPr>
            <w:r>
              <w:t>Must be less than 4 individuals (per State law).</w:t>
            </w:r>
          </w:p>
          <w:p w14:paraId="5C157333" w14:textId="4EAABD44" w:rsidR="00A71FA3" w:rsidRDefault="00A71FA3" w:rsidP="00A71FA3">
            <w:pPr>
              <w:pStyle w:val="ListParagraph"/>
              <w:numPr>
                <w:ilvl w:val="0"/>
                <w:numId w:val="30"/>
              </w:numPr>
              <w:ind w:left="1080"/>
            </w:pPr>
            <w:r>
              <w:t>The Clients must hold the lease or own the home and expenses are paid by the clients or their guardians.</w:t>
            </w:r>
          </w:p>
          <w:p w14:paraId="3DF14597" w14:textId="77777777" w:rsidR="00A71FA3" w:rsidRDefault="00A71FA3" w:rsidP="00A71FA3">
            <w:pPr>
              <w:pStyle w:val="ListParagraph"/>
              <w:numPr>
                <w:ilvl w:val="0"/>
                <w:numId w:val="30"/>
              </w:numPr>
              <w:ind w:left="1080"/>
            </w:pPr>
            <w:r>
              <w:t>Payment is for staff to provide community living supports.</w:t>
            </w:r>
          </w:p>
          <w:p w14:paraId="7034A63A" w14:textId="35932AA4" w:rsidR="00A71FA3" w:rsidRDefault="00A71FA3" w:rsidP="00A71FA3">
            <w:pPr>
              <w:pStyle w:val="ListParagraph"/>
              <w:numPr>
                <w:ilvl w:val="0"/>
                <w:numId w:val="27"/>
              </w:numPr>
              <w:ind w:left="1080"/>
            </w:pPr>
            <w:r>
              <w:t>Home Help must be backed out of the overall staffing as determined by MDHHS evaluation and billed by the provider to the MDHHS separately.</w:t>
            </w:r>
          </w:p>
        </w:tc>
      </w:tr>
      <w:tr w:rsidR="0082374D" w14:paraId="63675F68" w14:textId="77777777" w:rsidTr="0082374D">
        <w:trPr>
          <w:trHeight w:val="350"/>
        </w:trPr>
        <w:tc>
          <w:tcPr>
            <w:tcW w:w="6475" w:type="dxa"/>
            <w:shd w:val="clear" w:color="auto" w:fill="E7E6E6" w:themeFill="background2"/>
          </w:tcPr>
          <w:p w14:paraId="6DBB71A4" w14:textId="7A2BD633" w:rsidR="0082374D" w:rsidRPr="0082374D" w:rsidRDefault="0082374D" w:rsidP="0031040B">
            <w:pPr>
              <w:rPr>
                <w:b/>
                <w:bCs/>
                <w:u w:val="single"/>
              </w:rPr>
            </w:pPr>
            <w:r w:rsidRPr="0082374D">
              <w:rPr>
                <w:b/>
                <w:bCs/>
                <w:u w:val="single"/>
              </w:rPr>
              <w:t>Special Topics Section of Contracts</w:t>
            </w:r>
          </w:p>
        </w:tc>
        <w:tc>
          <w:tcPr>
            <w:tcW w:w="6475" w:type="dxa"/>
            <w:shd w:val="clear" w:color="auto" w:fill="E7E6E6" w:themeFill="background2"/>
          </w:tcPr>
          <w:p w14:paraId="4B039491" w14:textId="77777777" w:rsidR="0082374D" w:rsidRDefault="0082374D" w:rsidP="005C13DD"/>
        </w:tc>
      </w:tr>
      <w:tr w:rsidR="005C13DD" w14:paraId="47DD291E" w14:textId="77777777" w:rsidTr="0031040B">
        <w:trPr>
          <w:trHeight w:val="1072"/>
        </w:trPr>
        <w:tc>
          <w:tcPr>
            <w:tcW w:w="6475" w:type="dxa"/>
          </w:tcPr>
          <w:p w14:paraId="1F90CEB5" w14:textId="7A40DBD0" w:rsidR="005C13DD" w:rsidRDefault="005C13DD" w:rsidP="0031040B">
            <w:r>
              <w:t>Indemnity</w:t>
            </w:r>
          </w:p>
        </w:tc>
        <w:tc>
          <w:tcPr>
            <w:tcW w:w="6475" w:type="dxa"/>
          </w:tcPr>
          <w:p w14:paraId="7DAABC93" w14:textId="20DD6170" w:rsidR="005C13DD" w:rsidRDefault="005C13DD" w:rsidP="005C13DD">
            <w:r>
              <w:t>Three types:</w:t>
            </w:r>
          </w:p>
          <w:p w14:paraId="67EFD75B" w14:textId="07170005" w:rsidR="005C13DD" w:rsidRDefault="005C13DD" w:rsidP="005C13DD">
            <w:pPr>
              <w:pStyle w:val="ListParagraph"/>
              <w:numPr>
                <w:ilvl w:val="0"/>
                <w:numId w:val="22"/>
              </w:numPr>
              <w:ind w:left="1080"/>
            </w:pPr>
            <w:r>
              <w:t>Protection of CMH</w:t>
            </w:r>
          </w:p>
          <w:p w14:paraId="18688461" w14:textId="6E7517BF" w:rsidR="005C13DD" w:rsidRDefault="005C13DD" w:rsidP="005C13DD">
            <w:pPr>
              <w:pStyle w:val="ListParagraph"/>
              <w:numPr>
                <w:ilvl w:val="0"/>
                <w:numId w:val="22"/>
              </w:numPr>
              <w:ind w:left="1080"/>
            </w:pPr>
            <w:r>
              <w:t>Two-way protections</w:t>
            </w:r>
          </w:p>
          <w:p w14:paraId="61688AA6" w14:textId="5757B563" w:rsidR="005C13DD" w:rsidRDefault="005C13DD" w:rsidP="005C13DD">
            <w:pPr>
              <w:pStyle w:val="ListParagraph"/>
              <w:numPr>
                <w:ilvl w:val="0"/>
                <w:numId w:val="22"/>
              </w:numPr>
              <w:ind w:left="1080"/>
            </w:pPr>
            <w:r>
              <w:t>Not addressed (each to their own)</w:t>
            </w:r>
          </w:p>
          <w:p w14:paraId="1156BEAA" w14:textId="3CF427E1" w:rsidR="005C13DD" w:rsidRDefault="005C13DD" w:rsidP="005C13DD">
            <w:pPr>
              <w:pStyle w:val="ListParagraph"/>
              <w:ind w:left="1080"/>
            </w:pPr>
          </w:p>
        </w:tc>
      </w:tr>
      <w:tr w:rsidR="00B039F8" w14:paraId="69CE9002" w14:textId="77777777" w:rsidTr="00B039F8">
        <w:trPr>
          <w:trHeight w:val="938"/>
        </w:trPr>
        <w:tc>
          <w:tcPr>
            <w:tcW w:w="6475" w:type="dxa"/>
          </w:tcPr>
          <w:p w14:paraId="7374055A" w14:textId="4AE382D3" w:rsidR="00B039F8" w:rsidRDefault="00B039F8" w:rsidP="0031040B">
            <w:r>
              <w:t>Liability Insurance</w:t>
            </w:r>
          </w:p>
        </w:tc>
        <w:tc>
          <w:tcPr>
            <w:tcW w:w="6475" w:type="dxa"/>
          </w:tcPr>
          <w:p w14:paraId="490A88C7" w14:textId="77777777" w:rsidR="00B039F8" w:rsidRDefault="00B039F8" w:rsidP="005C13DD">
            <w:r>
              <w:t>More of an art form:</w:t>
            </w:r>
          </w:p>
          <w:p w14:paraId="7B19626B" w14:textId="5997FD2D" w:rsidR="00B039F8" w:rsidRDefault="00B039F8" w:rsidP="0080547E">
            <w:pPr>
              <w:pStyle w:val="ListParagraph"/>
              <w:numPr>
                <w:ilvl w:val="0"/>
                <w:numId w:val="23"/>
              </w:numPr>
            </w:pPr>
            <w:r>
              <w:t>Risk exposure to the CMH typically measured in human and financial terms.</w:t>
            </w:r>
          </w:p>
          <w:p w14:paraId="44A02206" w14:textId="486DB908" w:rsidR="00B039F8" w:rsidRDefault="00B039F8" w:rsidP="0080547E">
            <w:pPr>
              <w:pStyle w:val="ListParagraph"/>
              <w:numPr>
                <w:ilvl w:val="0"/>
                <w:numId w:val="23"/>
              </w:numPr>
            </w:pPr>
            <w:r>
              <w:t>There are guidelines from State Departments and Contracts</w:t>
            </w:r>
          </w:p>
          <w:p w14:paraId="34605442" w14:textId="40F84698" w:rsidR="0080547E" w:rsidRPr="00321B70" w:rsidRDefault="0080547E" w:rsidP="0080547E">
            <w:pPr>
              <w:ind w:left="360"/>
              <w:rPr>
                <w:b/>
                <w:bCs/>
              </w:rPr>
            </w:pPr>
            <w:r>
              <w:t xml:space="preserve">    </w:t>
            </w:r>
            <w:r w:rsidRPr="00321B70">
              <w:rPr>
                <w:b/>
                <w:bCs/>
              </w:rPr>
              <w:t>General Coverage is currently:</w:t>
            </w:r>
          </w:p>
          <w:p w14:paraId="2614F97D" w14:textId="51DE8B5C" w:rsidR="0080547E" w:rsidRPr="0080547E" w:rsidRDefault="0080547E" w:rsidP="0080547E">
            <w:pPr>
              <w:spacing w:line="259" w:lineRule="auto"/>
              <w:rPr>
                <w:rFonts w:cstheme="minorHAnsi"/>
              </w:rPr>
            </w:pPr>
            <w:r w:rsidRPr="004B7AAE">
              <w:rPr>
                <w:rFonts w:cstheme="minorHAnsi"/>
              </w:rPr>
              <w:t xml:space="preserve">           </w:t>
            </w:r>
            <w:r w:rsidRPr="0080547E">
              <w:rPr>
                <w:rFonts w:cstheme="minorHAnsi"/>
                <w:u w:val="single"/>
              </w:rPr>
              <w:t>Minimum Limits</w:t>
            </w:r>
            <w:r w:rsidRPr="0080547E">
              <w:rPr>
                <w:rFonts w:cstheme="minorHAnsi"/>
              </w:rPr>
              <w:t>:</w:t>
            </w:r>
          </w:p>
          <w:p w14:paraId="0DB3FD11" w14:textId="4134EB73" w:rsidR="0080547E" w:rsidRPr="0080547E" w:rsidRDefault="0080547E" w:rsidP="0080547E">
            <w:pPr>
              <w:spacing w:line="259" w:lineRule="auto"/>
              <w:rPr>
                <w:rFonts w:cstheme="minorHAnsi"/>
              </w:rPr>
            </w:pPr>
            <w:r w:rsidRPr="004B7AAE">
              <w:rPr>
                <w:rFonts w:cstheme="minorHAnsi"/>
              </w:rPr>
              <w:t xml:space="preserve">            </w:t>
            </w:r>
            <w:r w:rsidRPr="0080547E">
              <w:rPr>
                <w:rFonts w:cstheme="minorHAnsi"/>
              </w:rPr>
              <w:t>$1,000,000 Each Occurrence</w:t>
            </w:r>
          </w:p>
          <w:p w14:paraId="4D002D2F" w14:textId="3778DEB6" w:rsidR="0080547E" w:rsidRPr="0080547E" w:rsidRDefault="0080547E" w:rsidP="0080547E">
            <w:pPr>
              <w:spacing w:line="259" w:lineRule="auto"/>
              <w:rPr>
                <w:rFonts w:cstheme="minorHAnsi"/>
              </w:rPr>
            </w:pPr>
            <w:r w:rsidRPr="004B7AAE">
              <w:rPr>
                <w:rFonts w:cstheme="minorHAnsi"/>
              </w:rPr>
              <w:lastRenderedPageBreak/>
              <w:t xml:space="preserve">            </w:t>
            </w:r>
            <w:r w:rsidRPr="0080547E">
              <w:rPr>
                <w:rFonts w:cstheme="minorHAnsi"/>
              </w:rPr>
              <w:t>$1,000,000 Personal &amp; Advertising Injury</w:t>
            </w:r>
          </w:p>
          <w:p w14:paraId="1AD24885" w14:textId="7C445DE0" w:rsidR="0080547E" w:rsidRPr="0080547E" w:rsidRDefault="0080547E" w:rsidP="0080547E">
            <w:pPr>
              <w:spacing w:line="259" w:lineRule="auto"/>
              <w:rPr>
                <w:rFonts w:cstheme="minorHAnsi"/>
              </w:rPr>
            </w:pPr>
            <w:r w:rsidRPr="004B7AAE">
              <w:rPr>
                <w:rFonts w:cstheme="minorHAnsi"/>
              </w:rPr>
              <w:t xml:space="preserve">            </w:t>
            </w:r>
            <w:r w:rsidRPr="0080547E">
              <w:rPr>
                <w:rFonts w:cstheme="minorHAnsi"/>
              </w:rPr>
              <w:t>$2,000,000 General Aggregate</w:t>
            </w:r>
          </w:p>
          <w:p w14:paraId="77BAF997" w14:textId="76D03ADD" w:rsidR="0080547E" w:rsidRPr="004B7AAE" w:rsidRDefault="0080547E" w:rsidP="0080547E">
            <w:pPr>
              <w:rPr>
                <w:rFonts w:cstheme="minorHAnsi"/>
              </w:rPr>
            </w:pPr>
            <w:r w:rsidRPr="004B7AAE">
              <w:rPr>
                <w:rFonts w:cstheme="minorHAnsi"/>
              </w:rPr>
              <w:t xml:space="preserve">            $2,000,000 Products/Completed Operations</w:t>
            </w:r>
          </w:p>
          <w:p w14:paraId="580BF4C3" w14:textId="77777777" w:rsidR="0080547E" w:rsidRPr="004B7AAE" w:rsidRDefault="0080547E" w:rsidP="0080547E">
            <w:pPr>
              <w:rPr>
                <w:rFonts w:cstheme="minorHAnsi"/>
              </w:rPr>
            </w:pPr>
            <w:r w:rsidRPr="004B7AAE">
              <w:rPr>
                <w:rFonts w:cstheme="minorHAnsi"/>
              </w:rPr>
              <w:t xml:space="preserve">             </w:t>
            </w:r>
          </w:p>
          <w:p w14:paraId="2D6F356F" w14:textId="4080B91D" w:rsidR="0080547E" w:rsidRPr="004B7AAE" w:rsidRDefault="0080547E" w:rsidP="0080547E">
            <w:pPr>
              <w:rPr>
                <w:rFonts w:cstheme="minorHAnsi"/>
              </w:rPr>
            </w:pPr>
            <w:r w:rsidRPr="004B7AAE">
              <w:rPr>
                <w:rFonts w:cstheme="minorHAnsi"/>
              </w:rPr>
              <w:t xml:space="preserve">             </w:t>
            </w:r>
            <w:r w:rsidRPr="00321B70">
              <w:rPr>
                <w:rFonts w:cstheme="minorHAnsi"/>
                <w:b/>
                <w:bCs/>
              </w:rPr>
              <w:t>Professional Liability (Errors and Omissions) Insurance</w:t>
            </w:r>
            <w:r w:rsidRPr="004B7AAE">
              <w:rPr>
                <w:rFonts w:cstheme="minorHAnsi"/>
              </w:rPr>
              <w:t>:</w:t>
            </w:r>
          </w:p>
          <w:p w14:paraId="18B9A02A" w14:textId="77777777" w:rsidR="0080547E" w:rsidRPr="004B7AAE" w:rsidRDefault="0080547E" w:rsidP="0080547E">
            <w:pPr>
              <w:rPr>
                <w:rFonts w:cstheme="minorHAnsi"/>
              </w:rPr>
            </w:pPr>
            <w:r w:rsidRPr="004B7AAE">
              <w:rPr>
                <w:rFonts w:cstheme="minorHAnsi"/>
              </w:rPr>
              <w:t xml:space="preserve">             Minimum Limits:</w:t>
            </w:r>
          </w:p>
          <w:p w14:paraId="24423B0F" w14:textId="04F59DB3" w:rsidR="0080547E" w:rsidRPr="004B7AAE" w:rsidRDefault="0080547E" w:rsidP="0080547E">
            <w:pPr>
              <w:rPr>
                <w:rFonts w:cstheme="minorHAnsi"/>
              </w:rPr>
            </w:pPr>
            <w:r w:rsidRPr="004B7AAE">
              <w:rPr>
                <w:rFonts w:cstheme="minorHAnsi"/>
              </w:rPr>
              <w:t xml:space="preserve">             $3,000,000 Each Occurrence</w:t>
            </w:r>
          </w:p>
          <w:p w14:paraId="2A1C8C87" w14:textId="3276E7D8" w:rsidR="0080547E" w:rsidRPr="004B7AAE" w:rsidRDefault="0080547E" w:rsidP="0080547E">
            <w:pPr>
              <w:rPr>
                <w:rFonts w:cstheme="minorHAnsi"/>
              </w:rPr>
            </w:pPr>
            <w:r w:rsidRPr="004B7AAE">
              <w:rPr>
                <w:rFonts w:cstheme="minorHAnsi"/>
              </w:rPr>
              <w:t xml:space="preserve">             $3,000,000 Annual Aggregate</w:t>
            </w:r>
          </w:p>
          <w:p w14:paraId="52AF596D" w14:textId="77777777" w:rsidR="0080547E" w:rsidRDefault="00B039F8" w:rsidP="0080547E">
            <w:pPr>
              <w:pStyle w:val="ListParagraph"/>
              <w:numPr>
                <w:ilvl w:val="0"/>
                <w:numId w:val="23"/>
              </w:numPr>
            </w:pPr>
            <w:r>
              <w:t>Michigan Municipal Risk has issued guidance on occasion.</w:t>
            </w:r>
          </w:p>
          <w:p w14:paraId="2A4AD811" w14:textId="23738160" w:rsidR="0080547E" w:rsidRPr="0080547E" w:rsidRDefault="0080547E" w:rsidP="0080547E">
            <w:pPr>
              <w:pStyle w:val="ListParagraph"/>
              <w:numPr>
                <w:ilvl w:val="0"/>
                <w:numId w:val="23"/>
              </w:numPr>
            </w:pPr>
            <w:r>
              <w:rPr>
                <w:rFonts w:ascii="Franklin Gothic Book" w:hAnsi="Franklin Gothic Book" w:cs="Arial"/>
              </w:rPr>
              <w:t>T</w:t>
            </w:r>
            <w:r w:rsidRPr="0080547E">
              <w:rPr>
                <w:rFonts w:ascii="Franklin Gothic Book" w:hAnsi="Franklin Gothic Book" w:cs="Arial"/>
              </w:rPr>
              <w:t>here are 3 coverage levels for A</w:t>
            </w:r>
            <w:r>
              <w:rPr>
                <w:rFonts w:ascii="Franklin Gothic Book" w:hAnsi="Franklin Gothic Book" w:cs="Arial"/>
              </w:rPr>
              <w:t>F</w:t>
            </w:r>
            <w:r w:rsidRPr="0080547E">
              <w:rPr>
                <w:rFonts w:ascii="Franklin Gothic Book" w:hAnsi="Franklin Gothic Book" w:cs="Arial"/>
              </w:rPr>
              <w:t xml:space="preserve">C homes: </w:t>
            </w:r>
          </w:p>
          <w:p w14:paraId="144FDAB9" w14:textId="77777777" w:rsidR="0080547E" w:rsidRPr="00F163A8" w:rsidRDefault="0080547E" w:rsidP="0080547E">
            <w:pPr>
              <w:pStyle w:val="ListParagraph"/>
              <w:contextualSpacing w:val="0"/>
              <w:rPr>
                <w:rFonts w:ascii="Franklin Gothic Book" w:hAnsi="Franklin Gothic Book" w:cs="Arial"/>
              </w:rPr>
            </w:pPr>
            <w:r w:rsidRPr="00F163A8">
              <w:rPr>
                <w:rFonts w:ascii="Franklin Gothic Book" w:hAnsi="Franklin Gothic Book" w:cs="Arial"/>
              </w:rPr>
              <w:t xml:space="preserve">General Liability – Covers the premises and individuals onsite. </w:t>
            </w:r>
          </w:p>
          <w:p w14:paraId="568696D0" w14:textId="77777777" w:rsidR="0080547E" w:rsidRPr="00F163A8" w:rsidRDefault="0080547E" w:rsidP="0080547E">
            <w:pPr>
              <w:pStyle w:val="ListParagraph"/>
              <w:contextualSpacing w:val="0"/>
              <w:rPr>
                <w:rFonts w:ascii="Franklin Gothic Book" w:hAnsi="Franklin Gothic Book" w:cs="Arial"/>
              </w:rPr>
            </w:pPr>
            <w:r w:rsidRPr="00F163A8">
              <w:rPr>
                <w:rFonts w:ascii="Franklin Gothic Book" w:hAnsi="Franklin Gothic Book" w:cs="Arial"/>
              </w:rPr>
              <w:t>Professional Liability – Relates to the care provided to residents.</w:t>
            </w:r>
          </w:p>
          <w:p w14:paraId="7F60887A" w14:textId="77777777" w:rsidR="0080547E" w:rsidRDefault="0080547E" w:rsidP="0080547E">
            <w:pPr>
              <w:pStyle w:val="ListParagraph"/>
              <w:rPr>
                <w:rFonts w:ascii="Franklin Gothic Book" w:hAnsi="Franklin Gothic Book" w:cs="Arial"/>
              </w:rPr>
            </w:pPr>
            <w:r w:rsidRPr="00F163A8">
              <w:rPr>
                <w:rFonts w:ascii="Franklin Gothic Book" w:hAnsi="Franklin Gothic Book" w:cs="Arial"/>
              </w:rPr>
              <w:t>Abuse and Molestation</w:t>
            </w:r>
          </w:p>
          <w:p w14:paraId="59B9E6E4" w14:textId="778DBE4E" w:rsidR="0080547E" w:rsidRPr="0080547E" w:rsidRDefault="0080547E" w:rsidP="0080547E">
            <w:pPr>
              <w:pStyle w:val="ListParagraph"/>
              <w:numPr>
                <w:ilvl w:val="0"/>
                <w:numId w:val="23"/>
              </w:numPr>
            </w:pPr>
            <w:r w:rsidRPr="0080547E">
              <w:rPr>
                <w:rFonts w:ascii="Franklin Gothic Book" w:hAnsi="Franklin Gothic Book" w:cs="Arial"/>
              </w:rPr>
              <w:t xml:space="preserve">Factoring to rates are location, square footage, number of   beds, and/or number of employees. Property coverage is also required (commercial policy above homeowner’s insurance). Current industry standards for coverage limits were provided as $1M per occurrence and $3M aggregate; umbrella policies may be purchased to increase coverage limits. </w:t>
            </w:r>
          </w:p>
          <w:p w14:paraId="44FE45F5" w14:textId="1EBAB0B2" w:rsidR="00B039F8" w:rsidRDefault="00B039F8" w:rsidP="005C13DD"/>
        </w:tc>
      </w:tr>
      <w:tr w:rsidR="00B039F8" w14:paraId="468DF468" w14:textId="77777777" w:rsidTr="0031040B">
        <w:trPr>
          <w:trHeight w:val="937"/>
        </w:trPr>
        <w:tc>
          <w:tcPr>
            <w:tcW w:w="6475" w:type="dxa"/>
          </w:tcPr>
          <w:p w14:paraId="3A626D74" w14:textId="72A78F59" w:rsidR="00B039F8" w:rsidRDefault="00B039F8" w:rsidP="00B039F8">
            <w:r>
              <w:lastRenderedPageBreak/>
              <w:t>Use of Provider contract</w:t>
            </w:r>
          </w:p>
        </w:tc>
        <w:tc>
          <w:tcPr>
            <w:tcW w:w="6475" w:type="dxa"/>
          </w:tcPr>
          <w:p w14:paraId="6D0DD414" w14:textId="2E5A6142" w:rsidR="00B039F8" w:rsidRDefault="00B039F8" w:rsidP="00B039F8">
            <w:r>
              <w:t>Place holder Note conditions and what to look for</w:t>
            </w:r>
          </w:p>
        </w:tc>
      </w:tr>
      <w:tr w:rsidR="00B039F8" w14:paraId="630077C3" w14:textId="77777777" w:rsidTr="0031040B">
        <w:trPr>
          <w:trHeight w:val="1072"/>
        </w:trPr>
        <w:tc>
          <w:tcPr>
            <w:tcW w:w="6475" w:type="dxa"/>
          </w:tcPr>
          <w:p w14:paraId="2D82FB52" w14:textId="36C969A8" w:rsidR="00B039F8" w:rsidRDefault="00B039F8" w:rsidP="00B039F8">
            <w:r>
              <w:t>Earned Contract/They Pay Us</w:t>
            </w:r>
          </w:p>
        </w:tc>
        <w:tc>
          <w:tcPr>
            <w:tcW w:w="6475" w:type="dxa"/>
          </w:tcPr>
          <w:p w14:paraId="65DBF9B7" w14:textId="67777365" w:rsidR="00B039F8" w:rsidRDefault="00B039F8" w:rsidP="00B039F8">
            <w:pPr>
              <w:rPr>
                <w:rFonts w:eastAsia="Times New Roman"/>
              </w:rPr>
            </w:pPr>
            <w:r>
              <w:rPr>
                <w:rFonts w:eastAsia="Times New Roman"/>
              </w:rPr>
              <w:t xml:space="preserve">"Earned contracts", or "They pay us contracts" are where you would want the terms to be in your favor. Someone is </w:t>
            </w:r>
            <w:r w:rsidR="00142801">
              <w:rPr>
                <w:rFonts w:eastAsia="Times New Roman"/>
              </w:rPr>
              <w:t>buying a</w:t>
            </w:r>
            <w:r>
              <w:rPr>
                <w:rFonts w:eastAsia="Times New Roman"/>
              </w:rPr>
              <w:t xml:space="preserve"> service from your CMH as opposed to you buying from them. So therefore, </w:t>
            </w:r>
            <w:r w:rsidR="00142801">
              <w:rPr>
                <w:rFonts w:eastAsia="Times New Roman"/>
              </w:rPr>
              <w:t>you are</w:t>
            </w:r>
            <w:r>
              <w:rPr>
                <w:rFonts w:eastAsia="Times New Roman"/>
              </w:rPr>
              <w:t xml:space="preserve"> going to state the stuff that you feel minimally necessary to execute the contract for the services that </w:t>
            </w:r>
            <w:r w:rsidR="00583B8D">
              <w:rPr>
                <w:rFonts w:eastAsia="Times New Roman"/>
              </w:rPr>
              <w:t>they are</w:t>
            </w:r>
            <w:r>
              <w:rPr>
                <w:rFonts w:eastAsia="Times New Roman"/>
              </w:rPr>
              <w:t xml:space="preserve"> paying you for.</w:t>
            </w:r>
          </w:p>
          <w:p w14:paraId="14F0552E" w14:textId="5502C211" w:rsidR="00B039F8" w:rsidRDefault="00B039F8" w:rsidP="00B039F8"/>
        </w:tc>
      </w:tr>
      <w:tr w:rsidR="00B039F8" w14:paraId="0CD46F39" w14:textId="77777777" w:rsidTr="0031040B">
        <w:trPr>
          <w:trHeight w:val="1072"/>
        </w:trPr>
        <w:tc>
          <w:tcPr>
            <w:tcW w:w="6475" w:type="dxa"/>
          </w:tcPr>
          <w:p w14:paraId="07C325B0" w14:textId="52E88BBE" w:rsidR="00B039F8" w:rsidRDefault="00583B8D" w:rsidP="00B039F8">
            <w:r>
              <w:lastRenderedPageBreak/>
              <w:t>Background Checks</w:t>
            </w:r>
          </w:p>
        </w:tc>
        <w:tc>
          <w:tcPr>
            <w:tcW w:w="6475" w:type="dxa"/>
          </w:tcPr>
          <w:p w14:paraId="648992DF" w14:textId="6C92EA0B" w:rsidR="00B039F8" w:rsidRDefault="00583B8D" w:rsidP="00B039F8">
            <w:r>
              <w:t>Pursuant to Michigan law, all agencies subject to IRS Pub. 1075 are required to ask the Michigan State Police to perform fingerprint background checks on all employees, including Contractors and Subcontractor employees, who may have access to any database of information maintained by the federal government that contains confidential or personal information, including, but not limited to, federal tax information. Further, pursuant to Michigan law, any agency described above is prohibited from providing Contractors or Subcontractors with the result of such background check. For more information, please see Michigan P.A. 427 of 2018. Upon request, or as may be specified in Schedule A, Contractor must perform background checks on all employees and subcontractors and its employees prior to their assignment. The scope is at the discretion of the State and documentation must be provided as requested. Contractor is responsible for all costs associated with the requested background checks. The State, in its sole discretion, may also perform background checks.</w:t>
            </w:r>
          </w:p>
        </w:tc>
      </w:tr>
      <w:tr w:rsidR="00B039F8" w14:paraId="16FD4797" w14:textId="77777777" w:rsidTr="0031040B">
        <w:trPr>
          <w:trHeight w:val="1072"/>
        </w:trPr>
        <w:tc>
          <w:tcPr>
            <w:tcW w:w="6475" w:type="dxa"/>
          </w:tcPr>
          <w:p w14:paraId="5E5AD413" w14:textId="06DF12E4" w:rsidR="00B039F8" w:rsidRDefault="00B039F8" w:rsidP="00B039F8"/>
        </w:tc>
        <w:tc>
          <w:tcPr>
            <w:tcW w:w="6475" w:type="dxa"/>
          </w:tcPr>
          <w:p w14:paraId="5D86C9EC" w14:textId="5CF8196E" w:rsidR="00B039F8" w:rsidRDefault="00B039F8" w:rsidP="00B039F8"/>
        </w:tc>
      </w:tr>
    </w:tbl>
    <w:p w14:paraId="12B1ABA6" w14:textId="77777777" w:rsidR="007574DC" w:rsidRDefault="007574DC"/>
    <w:sectPr w:rsidR="007574DC" w:rsidSect="009625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69A"/>
    <w:multiLevelType w:val="hybridMultilevel"/>
    <w:tmpl w:val="8F1E1EF6"/>
    <w:lvl w:ilvl="0" w:tplc="B14C4B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131F4"/>
    <w:multiLevelType w:val="hybridMultilevel"/>
    <w:tmpl w:val="F4DC50E6"/>
    <w:lvl w:ilvl="0" w:tplc="44F4D1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476DE"/>
    <w:multiLevelType w:val="hybridMultilevel"/>
    <w:tmpl w:val="8D92B394"/>
    <w:lvl w:ilvl="0" w:tplc="503C9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D40F6"/>
    <w:multiLevelType w:val="hybridMultilevel"/>
    <w:tmpl w:val="95148B04"/>
    <w:lvl w:ilvl="0" w:tplc="E0F21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933F4"/>
    <w:multiLevelType w:val="hybridMultilevel"/>
    <w:tmpl w:val="C8FE2B0C"/>
    <w:lvl w:ilvl="0" w:tplc="CC74F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A3F1F"/>
    <w:multiLevelType w:val="hybridMultilevel"/>
    <w:tmpl w:val="CBAAAE7E"/>
    <w:lvl w:ilvl="0" w:tplc="798C86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04F90"/>
    <w:multiLevelType w:val="hybridMultilevel"/>
    <w:tmpl w:val="D0B673F6"/>
    <w:lvl w:ilvl="0" w:tplc="11FC36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000E72"/>
    <w:multiLevelType w:val="hybridMultilevel"/>
    <w:tmpl w:val="30524900"/>
    <w:lvl w:ilvl="0" w:tplc="C7FA6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322D2"/>
    <w:multiLevelType w:val="hybridMultilevel"/>
    <w:tmpl w:val="F1A0186E"/>
    <w:lvl w:ilvl="0" w:tplc="374E2D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31BC9"/>
    <w:multiLevelType w:val="hybridMultilevel"/>
    <w:tmpl w:val="67E2B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B675B"/>
    <w:multiLevelType w:val="hybridMultilevel"/>
    <w:tmpl w:val="911A2D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3A0503"/>
    <w:multiLevelType w:val="hybridMultilevel"/>
    <w:tmpl w:val="8F86AE22"/>
    <w:lvl w:ilvl="0" w:tplc="2020F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D11589"/>
    <w:multiLevelType w:val="hybridMultilevel"/>
    <w:tmpl w:val="DEC49484"/>
    <w:lvl w:ilvl="0" w:tplc="4CBA0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82B4D"/>
    <w:multiLevelType w:val="hybridMultilevel"/>
    <w:tmpl w:val="DEFE38F8"/>
    <w:lvl w:ilvl="0" w:tplc="79DEC0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87BE6"/>
    <w:multiLevelType w:val="hybridMultilevel"/>
    <w:tmpl w:val="AA4467A0"/>
    <w:lvl w:ilvl="0" w:tplc="798C86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12A4"/>
    <w:multiLevelType w:val="hybridMultilevel"/>
    <w:tmpl w:val="221ABDA8"/>
    <w:lvl w:ilvl="0" w:tplc="2E049B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572D4"/>
    <w:multiLevelType w:val="hybridMultilevel"/>
    <w:tmpl w:val="0D386406"/>
    <w:lvl w:ilvl="0" w:tplc="78F02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9654C"/>
    <w:multiLevelType w:val="hybridMultilevel"/>
    <w:tmpl w:val="4F7C9D2A"/>
    <w:lvl w:ilvl="0" w:tplc="CC600190">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49BC629B"/>
    <w:multiLevelType w:val="hybridMultilevel"/>
    <w:tmpl w:val="4016E90C"/>
    <w:lvl w:ilvl="0" w:tplc="0E842E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41380"/>
    <w:multiLevelType w:val="hybridMultilevel"/>
    <w:tmpl w:val="7D4648B2"/>
    <w:lvl w:ilvl="0" w:tplc="6AE0810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534F3EA2"/>
    <w:multiLevelType w:val="hybridMultilevel"/>
    <w:tmpl w:val="A0429F0C"/>
    <w:lvl w:ilvl="0" w:tplc="78AA8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376162"/>
    <w:multiLevelType w:val="hybridMultilevel"/>
    <w:tmpl w:val="6E16A2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D60675"/>
    <w:multiLevelType w:val="hybridMultilevel"/>
    <w:tmpl w:val="981E5268"/>
    <w:lvl w:ilvl="0" w:tplc="C3DA1D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5E663B8E"/>
    <w:multiLevelType w:val="hybridMultilevel"/>
    <w:tmpl w:val="FDE00608"/>
    <w:lvl w:ilvl="0" w:tplc="798C86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5605F"/>
    <w:multiLevelType w:val="hybridMultilevel"/>
    <w:tmpl w:val="88E2DF3E"/>
    <w:lvl w:ilvl="0" w:tplc="722EE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3606B"/>
    <w:multiLevelType w:val="hybridMultilevel"/>
    <w:tmpl w:val="3C4C8968"/>
    <w:lvl w:ilvl="0" w:tplc="A230BB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3E5B0A"/>
    <w:multiLevelType w:val="hybridMultilevel"/>
    <w:tmpl w:val="7E40E5F6"/>
    <w:lvl w:ilvl="0" w:tplc="3C342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D80A23"/>
    <w:multiLevelType w:val="hybridMultilevel"/>
    <w:tmpl w:val="D01C7794"/>
    <w:lvl w:ilvl="0" w:tplc="8954F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16BB2"/>
    <w:multiLevelType w:val="hybridMultilevel"/>
    <w:tmpl w:val="A226F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FC7820"/>
    <w:multiLevelType w:val="hybridMultilevel"/>
    <w:tmpl w:val="45BE0766"/>
    <w:lvl w:ilvl="0" w:tplc="097296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626489">
    <w:abstractNumId w:val="12"/>
  </w:num>
  <w:num w:numId="2" w16cid:durableId="959412325">
    <w:abstractNumId w:val="14"/>
  </w:num>
  <w:num w:numId="3" w16cid:durableId="1898084007">
    <w:abstractNumId w:val="8"/>
  </w:num>
  <w:num w:numId="4" w16cid:durableId="1542861387">
    <w:abstractNumId w:val="27"/>
  </w:num>
  <w:num w:numId="5" w16cid:durableId="1285845520">
    <w:abstractNumId w:val="26"/>
  </w:num>
  <w:num w:numId="6" w16cid:durableId="971835463">
    <w:abstractNumId w:val="0"/>
  </w:num>
  <w:num w:numId="7" w16cid:durableId="1143431171">
    <w:abstractNumId w:val="22"/>
  </w:num>
  <w:num w:numId="8" w16cid:durableId="1279142323">
    <w:abstractNumId w:val="28"/>
  </w:num>
  <w:num w:numId="9" w16cid:durableId="707146187">
    <w:abstractNumId w:val="21"/>
  </w:num>
  <w:num w:numId="10" w16cid:durableId="1166439723">
    <w:abstractNumId w:val="10"/>
  </w:num>
  <w:num w:numId="11" w16cid:durableId="1005788402">
    <w:abstractNumId w:val="17"/>
  </w:num>
  <w:num w:numId="12" w16cid:durableId="2064718655">
    <w:abstractNumId w:val="23"/>
  </w:num>
  <w:num w:numId="13" w16cid:durableId="1321621627">
    <w:abstractNumId w:val="3"/>
  </w:num>
  <w:num w:numId="14" w16cid:durableId="1775125709">
    <w:abstractNumId w:val="19"/>
  </w:num>
  <w:num w:numId="15" w16cid:durableId="757334998">
    <w:abstractNumId w:val="5"/>
  </w:num>
  <w:num w:numId="16" w16cid:durableId="774056142">
    <w:abstractNumId w:val="4"/>
  </w:num>
  <w:num w:numId="17" w16cid:durableId="588732862">
    <w:abstractNumId w:val="20"/>
  </w:num>
  <w:num w:numId="18" w16cid:durableId="1910384289">
    <w:abstractNumId w:val="16"/>
  </w:num>
  <w:num w:numId="19" w16cid:durableId="1266616301">
    <w:abstractNumId w:val="6"/>
  </w:num>
  <w:num w:numId="20" w16cid:durableId="2019961090">
    <w:abstractNumId w:val="24"/>
  </w:num>
  <w:num w:numId="21" w16cid:durableId="930814925">
    <w:abstractNumId w:val="2"/>
  </w:num>
  <w:num w:numId="22" w16cid:durableId="1407680403">
    <w:abstractNumId w:val="18"/>
  </w:num>
  <w:num w:numId="23" w16cid:durableId="1062143368">
    <w:abstractNumId w:val="13"/>
  </w:num>
  <w:num w:numId="24" w16cid:durableId="2064789289">
    <w:abstractNumId w:val="25"/>
  </w:num>
  <w:num w:numId="25" w16cid:durableId="1244100965">
    <w:abstractNumId w:val="9"/>
  </w:num>
  <w:num w:numId="26" w16cid:durableId="1288004392">
    <w:abstractNumId w:val="11"/>
  </w:num>
  <w:num w:numId="27" w16cid:durableId="1214464178">
    <w:abstractNumId w:val="15"/>
  </w:num>
  <w:num w:numId="28" w16cid:durableId="2018116898">
    <w:abstractNumId w:val="7"/>
  </w:num>
  <w:num w:numId="29" w16cid:durableId="927537054">
    <w:abstractNumId w:val="29"/>
  </w:num>
  <w:num w:numId="30" w16cid:durableId="200169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6"/>
    <w:rsid w:val="00055E17"/>
    <w:rsid w:val="000E5001"/>
    <w:rsid w:val="00117998"/>
    <w:rsid w:val="00142801"/>
    <w:rsid w:val="001A2606"/>
    <w:rsid w:val="001B6C3C"/>
    <w:rsid w:val="001D14C1"/>
    <w:rsid w:val="00204E2C"/>
    <w:rsid w:val="00284313"/>
    <w:rsid w:val="002E37EC"/>
    <w:rsid w:val="0031040B"/>
    <w:rsid w:val="003177CA"/>
    <w:rsid w:val="00321B70"/>
    <w:rsid w:val="00334FFA"/>
    <w:rsid w:val="00341D57"/>
    <w:rsid w:val="003E1C57"/>
    <w:rsid w:val="004147E3"/>
    <w:rsid w:val="004252AA"/>
    <w:rsid w:val="0046153C"/>
    <w:rsid w:val="004940B5"/>
    <w:rsid w:val="004B7AAE"/>
    <w:rsid w:val="005404B8"/>
    <w:rsid w:val="00583B8D"/>
    <w:rsid w:val="005C13DD"/>
    <w:rsid w:val="00697393"/>
    <w:rsid w:val="007203D3"/>
    <w:rsid w:val="00721142"/>
    <w:rsid w:val="00740BAC"/>
    <w:rsid w:val="007574DC"/>
    <w:rsid w:val="007B1EB2"/>
    <w:rsid w:val="007E6993"/>
    <w:rsid w:val="007F3821"/>
    <w:rsid w:val="0080547E"/>
    <w:rsid w:val="0082374D"/>
    <w:rsid w:val="00867DD5"/>
    <w:rsid w:val="008E4899"/>
    <w:rsid w:val="008E6DCE"/>
    <w:rsid w:val="00962546"/>
    <w:rsid w:val="00A07B3F"/>
    <w:rsid w:val="00A11FAB"/>
    <w:rsid w:val="00A71FA3"/>
    <w:rsid w:val="00B039F8"/>
    <w:rsid w:val="00C91313"/>
    <w:rsid w:val="00CB28F0"/>
    <w:rsid w:val="00CF3D85"/>
    <w:rsid w:val="00D91F6A"/>
    <w:rsid w:val="00E02E0D"/>
    <w:rsid w:val="00E7489F"/>
    <w:rsid w:val="00EB7F4A"/>
    <w:rsid w:val="00FD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FD1E"/>
  <w15:chartTrackingRefBased/>
  <w15:docId w15:val="{C35B2563-1DDC-42D7-BD2A-836E6E97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546"/>
    <w:pPr>
      <w:ind w:left="720"/>
      <w:contextualSpacing/>
    </w:pPr>
  </w:style>
  <w:style w:type="paragraph" w:styleId="Header">
    <w:name w:val="header"/>
    <w:basedOn w:val="Normal"/>
    <w:link w:val="HeaderChar"/>
    <w:uiPriority w:val="99"/>
    <w:unhideWhenUsed/>
    <w:rsid w:val="00805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822603084A143880765E5295D6028" ma:contentTypeVersion="12" ma:contentTypeDescription="Create a new document." ma:contentTypeScope="" ma:versionID="3176f0cebaf0727e06fb45dc5bdf9767">
  <xsd:schema xmlns:xsd="http://www.w3.org/2001/XMLSchema" xmlns:xs="http://www.w3.org/2001/XMLSchema" xmlns:p="http://schemas.microsoft.com/office/2006/metadata/properties" xmlns:ns2="4e3c55e1-1e5c-4a10-870d-845a3106e290" xmlns:ns3="c94dc16f-4166-4759-b066-e0f7ff395439" targetNamespace="http://schemas.microsoft.com/office/2006/metadata/properties" ma:root="true" ma:fieldsID="fa4db8496e64e55fd450930a3db80c5a" ns2:_="" ns3:_="">
    <xsd:import namespace="4e3c55e1-1e5c-4a10-870d-845a3106e290"/>
    <xsd:import namespace="c94dc16f-4166-4759-b066-e0f7ff3954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c55e1-1e5c-4a10-870d-845a3106e2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c16f-4166-4759-b066-e0f7ff3954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F91FA-DA5B-43D9-97B0-82642F78B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C4B64-8B0A-4224-94D4-7E05EA372B83}">
  <ds:schemaRefs>
    <ds:schemaRef ds:uri="http://schemas.microsoft.com/sharepoint/v3/contenttype/forms"/>
  </ds:schemaRefs>
</ds:datastoreItem>
</file>

<file path=customXml/itemProps3.xml><?xml version="1.0" encoding="utf-8"?>
<ds:datastoreItem xmlns:ds="http://schemas.openxmlformats.org/officeDocument/2006/customXml" ds:itemID="{46B93E43-63B8-43B2-9DA5-5DC8C908C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c55e1-1e5c-4a10-870d-845a3106e290"/>
    <ds:schemaRef ds:uri="c94dc16f-4166-4759-b066-e0f7ff395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7065</Characters>
  <Application>Microsoft Office Word</Application>
  <DocSecurity>0</DocSecurity>
  <Lines>235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Warlin</dc:creator>
  <cp:keywords/>
  <dc:description/>
  <cp:lastModifiedBy>Carol Balousek (NMRE)</cp:lastModifiedBy>
  <cp:revision>2</cp:revision>
  <cp:lastPrinted>2024-08-08T18:45:00Z</cp:lastPrinted>
  <dcterms:created xsi:type="dcterms:W3CDTF">2024-08-08T18:46:00Z</dcterms:created>
  <dcterms:modified xsi:type="dcterms:W3CDTF">2024-08-08T18:46:00Z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0x010100BAD822603084A143880765E5295D6028</vt:lpwstr>
  </property>
</Properties>
</file>